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237150">
      <w:pPr>
        <w:rPr>
          <w:rFonts w:hint="eastAsia"/>
          <w:color w:val="auto"/>
          <w:highlight w:val="none"/>
        </w:rPr>
      </w:pPr>
      <w:bookmarkStart w:id="0" w:name="EBecaa0fa8a3034511a17880192c07d5d6"/>
      <w:r>
        <w:rPr>
          <w:rFonts w:hint="eastAsia"/>
          <w:color w:val="auto"/>
          <w:sz w:val="20"/>
          <w:highlight w:val="none"/>
        </w:rPr>
        <w:t xml:space="preserve"> </w:t>
      </w:r>
      <w:bookmarkEnd w:id="0"/>
      <w:bookmarkStart w:id="1" w:name="EB9794f1daad274a9b85f307e8b60057cd"/>
      <w:r>
        <w:rPr>
          <w:rFonts w:hint="eastAsia"/>
          <w:color w:val="auto"/>
          <w:sz w:val="20"/>
          <w:highlight w:val="none"/>
        </w:rPr>
        <w:t xml:space="preserve"> </w:t>
      </w:r>
      <w:bookmarkEnd w:id="1"/>
    </w:p>
    <w:p w14:paraId="1175C11C">
      <w:pPr>
        <w:spacing w:line="360" w:lineRule="auto"/>
        <w:jc w:val="left"/>
        <w:rPr>
          <w:rFonts w:hint="eastAsia" w:ascii="宋体" w:hAnsi="宋体"/>
          <w:b/>
          <w:color w:val="auto"/>
          <w:sz w:val="84"/>
          <w:highlight w:val="none"/>
        </w:rPr>
      </w:pPr>
    </w:p>
    <w:p w14:paraId="7D26429B">
      <w:pPr>
        <w:spacing w:line="360" w:lineRule="auto"/>
        <w:jc w:val="center"/>
        <w:rPr>
          <w:rFonts w:hint="eastAsia" w:ascii="宋体" w:hAnsi="宋体"/>
          <w:b/>
          <w:color w:val="auto"/>
          <w:sz w:val="36"/>
          <w:szCs w:val="10"/>
          <w:highlight w:val="none"/>
        </w:rPr>
      </w:pPr>
    </w:p>
    <w:p w14:paraId="100F5C10">
      <w:pPr>
        <w:spacing w:line="360" w:lineRule="auto"/>
        <w:jc w:val="center"/>
        <w:rPr>
          <w:rFonts w:ascii="宋体" w:hAnsi="宋体"/>
          <w:b/>
          <w:color w:val="auto"/>
          <w:sz w:val="84"/>
          <w:highlight w:val="none"/>
        </w:rPr>
      </w:pPr>
      <w:r>
        <w:rPr>
          <w:rFonts w:hint="eastAsia" w:ascii="宋体" w:hAnsi="宋体"/>
          <w:b/>
          <w:color w:val="auto"/>
          <w:sz w:val="84"/>
          <w:highlight w:val="none"/>
        </w:rPr>
        <w:t>磋  商  文  件</w:t>
      </w:r>
    </w:p>
    <w:p w14:paraId="1A286C41">
      <w:pPr>
        <w:spacing w:line="360" w:lineRule="auto"/>
        <w:jc w:val="center"/>
        <w:rPr>
          <w:rFonts w:ascii="宋体" w:hAnsi="宋体"/>
          <w:color w:val="auto"/>
          <w:sz w:val="32"/>
          <w:highlight w:val="none"/>
        </w:rPr>
      </w:pPr>
    </w:p>
    <w:p w14:paraId="7913136F">
      <w:pPr>
        <w:spacing w:line="360" w:lineRule="auto"/>
        <w:jc w:val="center"/>
        <w:rPr>
          <w:rFonts w:hint="eastAsia" w:ascii="宋体" w:hAnsi="宋体"/>
          <w:b/>
          <w:color w:val="auto"/>
          <w:sz w:val="36"/>
          <w:highlight w:val="none"/>
        </w:rPr>
      </w:pPr>
    </w:p>
    <w:p w14:paraId="58874879">
      <w:pPr>
        <w:keepNext w:val="0"/>
        <w:keepLines w:val="0"/>
        <w:pageBreakBefore w:val="0"/>
        <w:widowControl w:val="0"/>
        <w:spacing w:before="313" w:after="313" w:line="360" w:lineRule="auto"/>
        <w:ind w:firstLine="1084"/>
        <w:jc w:val="both"/>
        <w:rPr>
          <w:rFonts w:hint="eastAsia" w:ascii="宋体" w:hAnsi="宋体"/>
          <w:b/>
          <w:color w:val="auto"/>
          <w:sz w:val="36"/>
          <w:highlight w:val="none"/>
        </w:rPr>
      </w:pPr>
    </w:p>
    <w:p w14:paraId="11B1861B">
      <w:pPr>
        <w:keepNext w:val="0"/>
        <w:keepLines w:val="0"/>
        <w:pageBreakBefore w:val="0"/>
        <w:widowControl w:val="0"/>
        <w:spacing w:before="313" w:after="313" w:line="360" w:lineRule="auto"/>
        <w:ind w:firstLine="850"/>
        <w:jc w:val="both"/>
        <w:rPr>
          <w:rFonts w:hint="eastAsia" w:ascii="宋体" w:hAnsi="宋体"/>
          <w:b/>
          <w:color w:val="auto"/>
          <w:sz w:val="36"/>
          <w:highlight w:val="none"/>
          <w:lang w:eastAsia="zh-CN"/>
        </w:rPr>
      </w:pPr>
      <w:r>
        <w:rPr>
          <w:rFonts w:hint="eastAsia" w:ascii="宋体" w:hAnsi="宋体"/>
          <w:b/>
          <w:color w:val="auto"/>
          <w:sz w:val="36"/>
          <w:highlight w:val="none"/>
        </w:rPr>
        <w:t>项目编号：</w:t>
      </w:r>
      <w:r>
        <w:rPr>
          <w:rFonts w:hint="eastAsia" w:ascii="宋体" w:hAnsi="宋体"/>
          <w:b/>
          <w:color w:val="auto"/>
          <w:sz w:val="36"/>
          <w:highlight w:val="none"/>
          <w:lang w:eastAsia="zh-CN"/>
        </w:rPr>
        <w:t>JSZC-321181-DYWX-C2026-0008</w:t>
      </w:r>
    </w:p>
    <w:p w14:paraId="20E6B93E">
      <w:pPr>
        <w:keepNext w:val="0"/>
        <w:keepLines w:val="0"/>
        <w:pageBreakBefore w:val="0"/>
        <w:widowControl w:val="0"/>
        <w:spacing w:before="313" w:after="313" w:line="360" w:lineRule="auto"/>
        <w:ind w:firstLine="850"/>
        <w:jc w:val="both"/>
        <w:rPr>
          <w:rFonts w:hint="eastAsia" w:ascii="宋体" w:hAnsi="宋体" w:eastAsia="宋体"/>
          <w:b/>
          <w:color w:val="auto"/>
          <w:sz w:val="36"/>
          <w:highlight w:val="none"/>
        </w:rPr>
      </w:pPr>
      <w:r>
        <w:rPr>
          <w:rFonts w:hint="eastAsia" w:ascii="宋体" w:hAnsi="宋体"/>
          <w:b/>
          <w:color w:val="auto"/>
          <w:sz w:val="36"/>
          <w:highlight w:val="none"/>
        </w:rPr>
        <w:t>项目名称：</w:t>
      </w:r>
      <w:r>
        <w:rPr>
          <w:rFonts w:hint="eastAsia" w:ascii="宋体" w:hAnsi="宋体"/>
          <w:b/>
          <w:color w:val="auto"/>
          <w:spacing w:val="-20"/>
          <w:sz w:val="36"/>
          <w:highlight w:val="none"/>
          <w:lang w:eastAsia="zh-CN"/>
        </w:rPr>
        <w:t>丹阳市正则高级中学宿舍修缮出新项目</w:t>
      </w:r>
    </w:p>
    <w:p w14:paraId="5764E6C1">
      <w:pPr>
        <w:spacing w:line="360" w:lineRule="auto"/>
        <w:ind w:left="630" w:right="630"/>
        <w:jc w:val="center"/>
        <w:rPr>
          <w:rFonts w:hint="eastAsia" w:ascii="宋体" w:hAnsi="宋体"/>
          <w:b/>
          <w:color w:val="auto"/>
          <w:sz w:val="36"/>
          <w:szCs w:val="36"/>
          <w:highlight w:val="none"/>
        </w:rPr>
      </w:pPr>
    </w:p>
    <w:p w14:paraId="01D23174">
      <w:pPr>
        <w:spacing w:line="360" w:lineRule="auto"/>
        <w:ind w:right="630"/>
        <w:jc w:val="both"/>
        <w:rPr>
          <w:rFonts w:ascii="宋体" w:hAnsi="宋体"/>
          <w:b/>
          <w:color w:val="auto"/>
          <w:sz w:val="36"/>
          <w:szCs w:val="36"/>
          <w:highlight w:val="none"/>
        </w:rPr>
      </w:pPr>
    </w:p>
    <w:p w14:paraId="327D4768">
      <w:pPr>
        <w:spacing w:line="360" w:lineRule="auto"/>
        <w:jc w:val="center"/>
        <w:rPr>
          <w:rFonts w:ascii="宋体" w:hAnsi="宋体"/>
          <w:b/>
          <w:color w:val="auto"/>
          <w:sz w:val="32"/>
          <w:szCs w:val="21"/>
          <w:highlight w:val="none"/>
        </w:rPr>
      </w:pPr>
    </w:p>
    <w:p w14:paraId="27B997B0">
      <w:pPr>
        <w:spacing w:line="360" w:lineRule="auto"/>
        <w:jc w:val="center"/>
        <w:rPr>
          <w:rFonts w:hint="eastAsia" w:ascii="宋体" w:hAnsi="宋体"/>
          <w:b/>
          <w:color w:val="auto"/>
          <w:sz w:val="36"/>
          <w:highlight w:val="none"/>
        </w:rPr>
      </w:pPr>
    </w:p>
    <w:p w14:paraId="56CEEDCB">
      <w:pPr>
        <w:keepNext w:val="0"/>
        <w:keepLines w:val="0"/>
        <w:pageBreakBefore w:val="0"/>
        <w:widowControl w:val="0"/>
        <w:spacing w:after="361" w:line="360" w:lineRule="auto"/>
        <w:jc w:val="center"/>
        <w:rPr>
          <w:rFonts w:hint="eastAsia" w:ascii="宋体" w:hAnsi="宋体" w:eastAsia="宋体"/>
          <w:b/>
          <w:color w:val="auto"/>
          <w:sz w:val="36"/>
          <w:highlight w:val="none"/>
        </w:rPr>
      </w:pPr>
      <w:r>
        <w:rPr>
          <w:rFonts w:hint="eastAsia" w:ascii="宋体" w:hAnsi="宋体"/>
          <w:b/>
          <w:color w:val="auto"/>
          <w:sz w:val="36"/>
          <w:highlight w:val="none"/>
          <w:lang w:eastAsia="zh-CN"/>
        </w:rPr>
        <w:t>江苏万信项目管理有限公司</w:t>
      </w:r>
    </w:p>
    <w:p w14:paraId="4841871D">
      <w:pPr>
        <w:spacing w:line="360" w:lineRule="auto"/>
        <w:jc w:val="center"/>
        <w:rPr>
          <w:rFonts w:hint="default" w:ascii="宋体" w:hAnsi="宋体" w:eastAsia="宋体"/>
          <w:b/>
          <w:bCs/>
          <w:color w:val="auto"/>
          <w:sz w:val="36"/>
          <w:szCs w:val="36"/>
          <w:highlight w:val="none"/>
          <w:lang w:val="en-US" w:eastAsia="zh-CN"/>
        </w:rPr>
        <w:sectPr>
          <w:headerReference r:id="rId4" w:type="first"/>
          <w:headerReference r:id="rId3" w:type="default"/>
          <w:pgSz w:w="11906" w:h="16838"/>
          <w:pgMar w:top="1418" w:right="1555" w:bottom="1418" w:left="1531" w:header="851" w:footer="992" w:gutter="0"/>
          <w:pgNumType w:start="1"/>
          <w:cols w:space="720" w:num="1"/>
          <w:titlePg/>
          <w:docGrid w:linePitch="360" w:charSpace="0"/>
        </w:sectPr>
      </w:pPr>
      <w:r>
        <w:rPr>
          <w:rFonts w:hint="eastAsia" w:ascii="宋体" w:hAnsi="宋体"/>
          <w:b/>
          <w:color w:val="auto"/>
          <w:sz w:val="36"/>
          <w:szCs w:val="36"/>
          <w:highlight w:val="none"/>
          <w:lang w:eastAsia="zh-CN"/>
        </w:rPr>
        <w:t>202</w:t>
      </w:r>
      <w:r>
        <w:rPr>
          <w:rFonts w:hint="eastAsia" w:ascii="宋体" w:hAnsi="宋体"/>
          <w:b/>
          <w:color w:val="auto"/>
          <w:sz w:val="36"/>
          <w:szCs w:val="36"/>
          <w:highlight w:val="none"/>
          <w:lang w:val="en-US" w:eastAsia="zh-CN"/>
        </w:rPr>
        <w:t>6</w:t>
      </w:r>
      <w:r>
        <w:rPr>
          <w:rFonts w:hint="eastAsia" w:ascii="宋体" w:hAnsi="宋体"/>
          <w:b/>
          <w:color w:val="auto"/>
          <w:sz w:val="36"/>
          <w:szCs w:val="36"/>
          <w:highlight w:val="none"/>
        </w:rPr>
        <w:t>-</w:t>
      </w:r>
      <w:r>
        <w:rPr>
          <w:rFonts w:hint="eastAsia" w:ascii="宋体" w:hAnsi="宋体"/>
          <w:b/>
          <w:color w:val="auto"/>
          <w:sz w:val="36"/>
          <w:szCs w:val="36"/>
          <w:highlight w:val="none"/>
          <w:lang w:val="en-US" w:eastAsia="zh-CN"/>
        </w:rPr>
        <w:t>05</w:t>
      </w:r>
      <w:r>
        <w:rPr>
          <w:rFonts w:hint="eastAsia" w:ascii="宋体" w:hAnsi="宋体"/>
          <w:b/>
          <w:color w:val="auto"/>
          <w:sz w:val="36"/>
          <w:szCs w:val="36"/>
          <w:highlight w:val="none"/>
        </w:rPr>
        <w:t>-</w:t>
      </w:r>
      <w:r>
        <w:rPr>
          <w:rFonts w:hint="eastAsia" w:ascii="宋体" w:hAnsi="宋体"/>
          <w:b/>
          <w:bCs/>
          <w:color w:val="auto"/>
          <w:sz w:val="36"/>
          <w:szCs w:val="36"/>
          <w:highlight w:val="none"/>
          <w:lang w:val="en-US" w:eastAsia="zh-CN"/>
        </w:rPr>
        <w:t xml:space="preserve">14 </w:t>
      </w:r>
    </w:p>
    <w:p w14:paraId="22267EF8">
      <w:pPr>
        <w:pageBreakBefore/>
        <w:spacing w:line="360" w:lineRule="auto"/>
        <w:jc w:val="center"/>
        <w:rPr>
          <w:rFonts w:ascii="宋体" w:hAnsi="宋体"/>
          <w:b/>
          <w:bCs/>
          <w:color w:val="auto"/>
          <w:sz w:val="36"/>
          <w:szCs w:val="36"/>
          <w:highlight w:val="none"/>
        </w:rPr>
      </w:pPr>
      <w:r>
        <w:rPr>
          <w:rFonts w:hint="eastAsia" w:ascii="宋体" w:hAnsi="宋体"/>
          <w:b/>
          <w:bCs/>
          <w:color w:val="auto"/>
          <w:sz w:val="36"/>
          <w:szCs w:val="36"/>
          <w:highlight w:val="none"/>
        </w:rPr>
        <w:t>磋商文件目录</w:t>
      </w:r>
    </w:p>
    <w:p w14:paraId="10E78F03">
      <w:pPr>
        <w:pStyle w:val="22"/>
        <w:tabs>
          <w:tab w:val="right" w:leader="dot" w:pos="8820"/>
        </w:tabs>
        <w:rPr>
          <w:color w:val="auto"/>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_Toc15385 </w:instrText>
      </w:r>
      <w:r>
        <w:rPr>
          <w:color w:val="auto"/>
          <w:highlight w:val="none"/>
        </w:rPr>
        <w:fldChar w:fldCharType="separate"/>
      </w:r>
      <w:r>
        <w:rPr>
          <w:rFonts w:hint="eastAsia" w:ascii="宋体" w:hAnsi="宋体"/>
          <w:color w:val="auto"/>
          <w:highlight w:val="none"/>
        </w:rPr>
        <w:t>第一部分  磋商邀请</w:t>
      </w:r>
      <w:r>
        <w:rPr>
          <w:color w:val="auto"/>
          <w:highlight w:val="none"/>
        </w:rPr>
        <w:tab/>
      </w:r>
      <w:r>
        <w:rPr>
          <w:color w:val="auto"/>
          <w:highlight w:val="none"/>
        </w:rPr>
        <w:fldChar w:fldCharType="begin"/>
      </w:r>
      <w:r>
        <w:rPr>
          <w:color w:val="auto"/>
          <w:highlight w:val="none"/>
        </w:rPr>
        <w:instrText xml:space="preserve"> PAGEREF _Toc15385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7BB97C70">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_Toc8340 </w:instrText>
      </w:r>
      <w:r>
        <w:rPr>
          <w:color w:val="auto"/>
          <w:highlight w:val="none"/>
        </w:rPr>
        <w:fldChar w:fldCharType="separate"/>
      </w:r>
      <w:r>
        <w:rPr>
          <w:rFonts w:hint="eastAsia" w:ascii="宋体" w:hAnsi="宋体" w:eastAsia="宋体"/>
          <w:bCs/>
          <w:color w:val="auto"/>
          <w:highlight w:val="none"/>
        </w:rPr>
        <w:t>一、项目基本情况</w:t>
      </w:r>
      <w:r>
        <w:rPr>
          <w:color w:val="auto"/>
          <w:highlight w:val="none"/>
        </w:rPr>
        <w:tab/>
      </w:r>
      <w:r>
        <w:rPr>
          <w:color w:val="auto"/>
          <w:highlight w:val="none"/>
        </w:rPr>
        <w:fldChar w:fldCharType="begin"/>
      </w:r>
      <w:r>
        <w:rPr>
          <w:color w:val="auto"/>
          <w:highlight w:val="none"/>
        </w:rPr>
        <w:instrText xml:space="preserve"> PAGEREF _Toc8340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5268AA94">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_Toc3214 </w:instrText>
      </w:r>
      <w:r>
        <w:rPr>
          <w:color w:val="auto"/>
          <w:highlight w:val="none"/>
        </w:rPr>
        <w:fldChar w:fldCharType="separate"/>
      </w:r>
      <w:r>
        <w:rPr>
          <w:rFonts w:hint="eastAsia" w:ascii="宋体" w:hAnsi="宋体" w:eastAsia="宋体" w:cs="Times New Roman"/>
          <w:bCs/>
          <w:color w:val="auto"/>
          <w:highlight w:val="none"/>
        </w:rPr>
        <w:t>二、申请人的资格要求</w:t>
      </w:r>
      <w:r>
        <w:rPr>
          <w:color w:val="auto"/>
          <w:highlight w:val="none"/>
        </w:rPr>
        <w:tab/>
      </w:r>
      <w:r>
        <w:rPr>
          <w:color w:val="auto"/>
          <w:highlight w:val="none"/>
        </w:rPr>
        <w:fldChar w:fldCharType="begin"/>
      </w:r>
      <w:r>
        <w:rPr>
          <w:color w:val="auto"/>
          <w:highlight w:val="none"/>
        </w:rPr>
        <w:instrText xml:space="preserve"> PAGEREF _Toc3214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1F72D80E">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_Toc12042 </w:instrText>
      </w:r>
      <w:r>
        <w:rPr>
          <w:color w:val="auto"/>
          <w:highlight w:val="none"/>
        </w:rPr>
        <w:fldChar w:fldCharType="separate"/>
      </w:r>
      <w:r>
        <w:rPr>
          <w:rFonts w:hint="eastAsia" w:ascii="宋体" w:hAnsi="宋体" w:eastAsia="宋体" w:cs="Times New Roman"/>
          <w:bCs/>
          <w:color w:val="auto"/>
          <w:highlight w:val="none"/>
        </w:rPr>
        <w:t>三、获取磋商文件</w:t>
      </w:r>
      <w:r>
        <w:rPr>
          <w:color w:val="auto"/>
          <w:highlight w:val="none"/>
        </w:rPr>
        <w:tab/>
      </w:r>
      <w:r>
        <w:rPr>
          <w:color w:val="auto"/>
          <w:highlight w:val="none"/>
        </w:rPr>
        <w:fldChar w:fldCharType="begin"/>
      </w:r>
      <w:r>
        <w:rPr>
          <w:color w:val="auto"/>
          <w:highlight w:val="none"/>
        </w:rPr>
        <w:instrText xml:space="preserve"> PAGEREF _Toc12042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4B278072">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_Toc15434 </w:instrText>
      </w:r>
      <w:r>
        <w:rPr>
          <w:color w:val="auto"/>
          <w:highlight w:val="none"/>
        </w:rPr>
        <w:fldChar w:fldCharType="separate"/>
      </w:r>
      <w:r>
        <w:rPr>
          <w:rFonts w:hint="eastAsia" w:ascii="宋体" w:hAnsi="宋体" w:eastAsia="宋体" w:cs="Times New Roman"/>
          <w:bCs/>
          <w:color w:val="auto"/>
          <w:highlight w:val="none"/>
        </w:rPr>
        <w:t>四、响应文件提交</w:t>
      </w:r>
      <w:r>
        <w:rPr>
          <w:color w:val="auto"/>
          <w:highlight w:val="none"/>
        </w:rPr>
        <w:tab/>
      </w:r>
      <w:r>
        <w:rPr>
          <w:color w:val="auto"/>
          <w:highlight w:val="none"/>
        </w:rPr>
        <w:fldChar w:fldCharType="begin"/>
      </w:r>
      <w:r>
        <w:rPr>
          <w:color w:val="auto"/>
          <w:highlight w:val="none"/>
        </w:rPr>
        <w:instrText xml:space="preserve"> PAGEREF _Toc15434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68B1F8B3">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_Toc32414 </w:instrText>
      </w:r>
      <w:r>
        <w:rPr>
          <w:color w:val="auto"/>
          <w:highlight w:val="none"/>
        </w:rPr>
        <w:fldChar w:fldCharType="separate"/>
      </w:r>
      <w:r>
        <w:rPr>
          <w:rFonts w:hint="eastAsia" w:ascii="宋体" w:hAnsi="宋体" w:eastAsia="宋体" w:cs="Times New Roman"/>
          <w:bCs/>
          <w:color w:val="auto"/>
          <w:highlight w:val="none"/>
        </w:rPr>
        <w:t>五、开启</w:t>
      </w:r>
      <w:r>
        <w:rPr>
          <w:color w:val="auto"/>
          <w:highlight w:val="none"/>
        </w:rPr>
        <w:tab/>
      </w:r>
      <w:r>
        <w:rPr>
          <w:color w:val="auto"/>
          <w:highlight w:val="none"/>
        </w:rPr>
        <w:fldChar w:fldCharType="begin"/>
      </w:r>
      <w:r>
        <w:rPr>
          <w:color w:val="auto"/>
          <w:highlight w:val="none"/>
        </w:rPr>
        <w:instrText xml:space="preserve"> PAGEREF _Toc32414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25BCB6E1">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_Toc24794 </w:instrText>
      </w:r>
      <w:r>
        <w:rPr>
          <w:color w:val="auto"/>
          <w:highlight w:val="none"/>
        </w:rPr>
        <w:fldChar w:fldCharType="separate"/>
      </w:r>
      <w:r>
        <w:rPr>
          <w:rFonts w:hint="eastAsia" w:ascii="宋体" w:hAnsi="宋体" w:eastAsia="宋体" w:cs="Times New Roman"/>
          <w:bCs/>
          <w:color w:val="auto"/>
          <w:highlight w:val="none"/>
        </w:rPr>
        <w:t>六、公告期限</w:t>
      </w:r>
      <w:r>
        <w:rPr>
          <w:color w:val="auto"/>
          <w:highlight w:val="none"/>
        </w:rPr>
        <w:tab/>
      </w:r>
      <w:r>
        <w:rPr>
          <w:color w:val="auto"/>
          <w:highlight w:val="none"/>
        </w:rPr>
        <w:fldChar w:fldCharType="begin"/>
      </w:r>
      <w:r>
        <w:rPr>
          <w:color w:val="auto"/>
          <w:highlight w:val="none"/>
        </w:rPr>
        <w:instrText xml:space="preserve"> PAGEREF _Toc24794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34E48FD5">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_Toc18482 </w:instrText>
      </w:r>
      <w:r>
        <w:rPr>
          <w:color w:val="auto"/>
          <w:highlight w:val="none"/>
        </w:rPr>
        <w:fldChar w:fldCharType="separate"/>
      </w:r>
      <w:r>
        <w:rPr>
          <w:rFonts w:hint="eastAsia" w:ascii="宋体" w:hAnsi="宋体" w:eastAsia="宋体" w:cs="Times New Roman"/>
          <w:bCs/>
          <w:color w:val="auto"/>
          <w:highlight w:val="none"/>
          <w:lang w:eastAsia="zh-CN"/>
        </w:rPr>
        <w:t>七</w:t>
      </w:r>
      <w:r>
        <w:rPr>
          <w:rFonts w:hint="eastAsia" w:ascii="宋体" w:hAnsi="宋体" w:eastAsia="宋体" w:cs="Times New Roman"/>
          <w:bCs/>
          <w:color w:val="auto"/>
          <w:highlight w:val="none"/>
        </w:rPr>
        <w:t>、其他补充事宜</w:t>
      </w:r>
      <w:r>
        <w:rPr>
          <w:color w:val="auto"/>
          <w:highlight w:val="none"/>
        </w:rPr>
        <w:tab/>
      </w:r>
      <w:r>
        <w:rPr>
          <w:color w:val="auto"/>
          <w:highlight w:val="none"/>
        </w:rPr>
        <w:fldChar w:fldCharType="begin"/>
      </w:r>
      <w:r>
        <w:rPr>
          <w:color w:val="auto"/>
          <w:highlight w:val="none"/>
        </w:rPr>
        <w:instrText xml:space="preserve"> PAGEREF _Toc18482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3C0C2035">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_Toc2804 </w:instrText>
      </w:r>
      <w:r>
        <w:rPr>
          <w:color w:val="auto"/>
          <w:highlight w:val="none"/>
        </w:rPr>
        <w:fldChar w:fldCharType="separate"/>
      </w:r>
      <w:r>
        <w:rPr>
          <w:rFonts w:hint="eastAsia" w:ascii="宋体" w:hAnsi="宋体" w:eastAsia="宋体" w:cs="Times New Roman"/>
          <w:bCs/>
          <w:color w:val="auto"/>
          <w:highlight w:val="none"/>
          <w:lang w:eastAsia="zh-CN"/>
        </w:rPr>
        <w:t>八</w:t>
      </w:r>
      <w:r>
        <w:rPr>
          <w:rFonts w:hint="eastAsia" w:ascii="宋体" w:hAnsi="宋体" w:eastAsia="宋体" w:cs="Times New Roman"/>
          <w:bCs/>
          <w:color w:val="auto"/>
          <w:highlight w:val="none"/>
        </w:rPr>
        <w:t>、对本次</w:t>
      </w:r>
      <w:r>
        <w:rPr>
          <w:rFonts w:hint="eastAsia" w:ascii="宋体" w:hAnsi="宋体" w:eastAsia="宋体" w:cs="Times New Roman"/>
          <w:bCs/>
          <w:color w:val="auto"/>
          <w:highlight w:val="none"/>
          <w:lang w:eastAsia="zh-CN"/>
        </w:rPr>
        <w:t>采购</w:t>
      </w:r>
      <w:r>
        <w:rPr>
          <w:rFonts w:hint="eastAsia" w:ascii="宋体" w:hAnsi="宋体" w:eastAsia="宋体" w:cs="Times New Roman"/>
          <w:bCs/>
          <w:color w:val="auto"/>
          <w:highlight w:val="none"/>
        </w:rPr>
        <w:t>提出询问，请按以下方式联系。</w:t>
      </w:r>
      <w:r>
        <w:rPr>
          <w:color w:val="auto"/>
          <w:highlight w:val="none"/>
        </w:rPr>
        <w:tab/>
      </w:r>
      <w:r>
        <w:rPr>
          <w:color w:val="auto"/>
          <w:highlight w:val="none"/>
        </w:rPr>
        <w:fldChar w:fldCharType="begin"/>
      </w:r>
      <w:r>
        <w:rPr>
          <w:color w:val="auto"/>
          <w:highlight w:val="none"/>
        </w:rPr>
        <w:instrText xml:space="preserve"> PAGEREF _Toc2804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0193FD99">
      <w:pPr>
        <w:pStyle w:val="22"/>
        <w:tabs>
          <w:tab w:val="right" w:leader="dot" w:pos="8820"/>
        </w:tabs>
        <w:rPr>
          <w:color w:val="auto"/>
          <w:highlight w:val="none"/>
        </w:rPr>
      </w:pPr>
      <w:r>
        <w:rPr>
          <w:color w:val="auto"/>
          <w:highlight w:val="none"/>
        </w:rPr>
        <w:fldChar w:fldCharType="begin"/>
      </w:r>
      <w:r>
        <w:rPr>
          <w:color w:val="auto"/>
          <w:highlight w:val="none"/>
        </w:rPr>
        <w:instrText xml:space="preserve"> HYPERLINK \l _Toc12155 </w:instrText>
      </w:r>
      <w:r>
        <w:rPr>
          <w:color w:val="auto"/>
          <w:highlight w:val="none"/>
        </w:rPr>
        <w:fldChar w:fldCharType="separate"/>
      </w:r>
      <w:r>
        <w:rPr>
          <w:rFonts w:hint="eastAsia" w:ascii="宋体" w:hAnsi="宋体"/>
          <w:color w:val="auto"/>
          <w:highlight w:val="none"/>
        </w:rPr>
        <w:t>第二部分  供应商须知</w:t>
      </w:r>
      <w:r>
        <w:rPr>
          <w:color w:val="auto"/>
          <w:highlight w:val="none"/>
        </w:rPr>
        <w:tab/>
      </w:r>
      <w:r>
        <w:rPr>
          <w:color w:val="auto"/>
          <w:highlight w:val="none"/>
        </w:rPr>
        <w:fldChar w:fldCharType="begin"/>
      </w:r>
      <w:r>
        <w:rPr>
          <w:color w:val="auto"/>
          <w:highlight w:val="none"/>
        </w:rPr>
        <w:instrText xml:space="preserve"> PAGEREF _Toc12155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7C7C079E">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_Toc13811 </w:instrText>
      </w:r>
      <w:r>
        <w:rPr>
          <w:color w:val="auto"/>
          <w:highlight w:val="none"/>
        </w:rPr>
        <w:fldChar w:fldCharType="separate"/>
      </w:r>
      <w:r>
        <w:rPr>
          <w:rFonts w:hint="eastAsia" w:ascii="宋体" w:hAnsi="宋体" w:eastAsia="宋体"/>
          <w:color w:val="auto"/>
          <w:highlight w:val="none"/>
        </w:rPr>
        <w:t>一、总  则</w:t>
      </w:r>
      <w:r>
        <w:rPr>
          <w:color w:val="auto"/>
          <w:highlight w:val="none"/>
        </w:rPr>
        <w:tab/>
      </w:r>
      <w:r>
        <w:rPr>
          <w:color w:val="auto"/>
          <w:highlight w:val="none"/>
        </w:rPr>
        <w:fldChar w:fldCharType="begin"/>
      </w:r>
      <w:r>
        <w:rPr>
          <w:color w:val="auto"/>
          <w:highlight w:val="none"/>
        </w:rPr>
        <w:instrText xml:space="preserve"> PAGEREF _Toc13811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726E6154">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_Toc22294 </w:instrText>
      </w:r>
      <w:r>
        <w:rPr>
          <w:color w:val="auto"/>
          <w:highlight w:val="none"/>
        </w:rPr>
        <w:fldChar w:fldCharType="separate"/>
      </w:r>
      <w:r>
        <w:rPr>
          <w:rFonts w:hint="eastAsia" w:ascii="宋体" w:hAnsi="宋体"/>
          <w:color w:val="auto"/>
          <w:highlight w:val="none"/>
        </w:rPr>
        <w:t>1．适用范围</w:t>
      </w:r>
      <w:r>
        <w:rPr>
          <w:color w:val="auto"/>
          <w:highlight w:val="none"/>
        </w:rPr>
        <w:tab/>
      </w:r>
      <w:r>
        <w:rPr>
          <w:color w:val="auto"/>
          <w:highlight w:val="none"/>
        </w:rPr>
        <w:fldChar w:fldCharType="begin"/>
      </w:r>
      <w:r>
        <w:rPr>
          <w:color w:val="auto"/>
          <w:highlight w:val="none"/>
        </w:rPr>
        <w:instrText xml:space="preserve"> PAGEREF _Toc22294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0941B439">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_Toc25596 </w:instrText>
      </w:r>
      <w:r>
        <w:rPr>
          <w:color w:val="auto"/>
          <w:highlight w:val="none"/>
        </w:rPr>
        <w:fldChar w:fldCharType="separate"/>
      </w:r>
      <w:r>
        <w:rPr>
          <w:rFonts w:hint="eastAsia" w:ascii="宋体" w:hAnsi="宋体"/>
          <w:color w:val="auto"/>
          <w:highlight w:val="none"/>
        </w:rPr>
        <w:t>2．定义</w:t>
      </w:r>
      <w:r>
        <w:rPr>
          <w:color w:val="auto"/>
          <w:highlight w:val="none"/>
        </w:rPr>
        <w:tab/>
      </w:r>
      <w:r>
        <w:rPr>
          <w:color w:val="auto"/>
          <w:highlight w:val="none"/>
        </w:rPr>
        <w:fldChar w:fldCharType="begin"/>
      </w:r>
      <w:r>
        <w:rPr>
          <w:color w:val="auto"/>
          <w:highlight w:val="none"/>
        </w:rPr>
        <w:instrText xml:space="preserve"> PAGEREF _Toc25596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2F1E092A">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_Toc651 </w:instrText>
      </w:r>
      <w:r>
        <w:rPr>
          <w:color w:val="auto"/>
          <w:highlight w:val="none"/>
        </w:rPr>
        <w:fldChar w:fldCharType="separate"/>
      </w:r>
      <w:r>
        <w:rPr>
          <w:rFonts w:hint="eastAsia" w:ascii="宋体" w:hAnsi="宋体"/>
          <w:color w:val="auto"/>
          <w:highlight w:val="none"/>
        </w:rPr>
        <w:t>3．本次采购方式</w:t>
      </w:r>
      <w:r>
        <w:rPr>
          <w:color w:val="auto"/>
          <w:highlight w:val="none"/>
        </w:rPr>
        <w:tab/>
      </w:r>
      <w:r>
        <w:rPr>
          <w:color w:val="auto"/>
          <w:highlight w:val="none"/>
        </w:rPr>
        <w:fldChar w:fldCharType="begin"/>
      </w:r>
      <w:r>
        <w:rPr>
          <w:color w:val="auto"/>
          <w:highlight w:val="none"/>
        </w:rPr>
        <w:instrText xml:space="preserve"> PAGEREF _Toc651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066EDBC7">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_Toc21643 </w:instrText>
      </w:r>
      <w:r>
        <w:rPr>
          <w:color w:val="auto"/>
          <w:highlight w:val="none"/>
        </w:rPr>
        <w:fldChar w:fldCharType="separate"/>
      </w:r>
      <w:r>
        <w:rPr>
          <w:rFonts w:hint="eastAsia" w:ascii="宋体" w:hAnsi="宋体"/>
          <w:color w:val="auto"/>
          <w:highlight w:val="none"/>
        </w:rPr>
        <w:t>4．磋商费用</w:t>
      </w:r>
      <w:r>
        <w:rPr>
          <w:color w:val="auto"/>
          <w:highlight w:val="none"/>
        </w:rPr>
        <w:tab/>
      </w:r>
      <w:r>
        <w:rPr>
          <w:color w:val="auto"/>
          <w:highlight w:val="none"/>
        </w:rPr>
        <w:fldChar w:fldCharType="begin"/>
      </w:r>
      <w:r>
        <w:rPr>
          <w:color w:val="auto"/>
          <w:highlight w:val="none"/>
        </w:rPr>
        <w:instrText xml:space="preserve"> PAGEREF _Toc21643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339CCB6F">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_Toc7472 </w:instrText>
      </w:r>
      <w:r>
        <w:rPr>
          <w:color w:val="auto"/>
          <w:highlight w:val="none"/>
        </w:rPr>
        <w:fldChar w:fldCharType="separate"/>
      </w:r>
      <w:r>
        <w:rPr>
          <w:rFonts w:hint="eastAsia" w:ascii="宋体" w:hAnsi="宋体"/>
          <w:color w:val="auto"/>
          <w:highlight w:val="none"/>
        </w:rPr>
        <w:t>5．政策功能</w:t>
      </w:r>
      <w:r>
        <w:rPr>
          <w:color w:val="auto"/>
          <w:highlight w:val="none"/>
        </w:rPr>
        <w:tab/>
      </w:r>
      <w:r>
        <w:rPr>
          <w:color w:val="auto"/>
          <w:highlight w:val="none"/>
        </w:rPr>
        <w:fldChar w:fldCharType="begin"/>
      </w:r>
      <w:r>
        <w:rPr>
          <w:color w:val="auto"/>
          <w:highlight w:val="none"/>
        </w:rPr>
        <w:instrText xml:space="preserve"> PAGEREF _Toc7472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7B8A8EE1">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_Toc28736 </w:instrText>
      </w:r>
      <w:r>
        <w:rPr>
          <w:color w:val="auto"/>
          <w:highlight w:val="none"/>
        </w:rPr>
        <w:fldChar w:fldCharType="separate"/>
      </w:r>
      <w:r>
        <w:rPr>
          <w:rFonts w:hint="eastAsia" w:ascii="宋体" w:hAnsi="宋体" w:eastAsia="宋体"/>
          <w:color w:val="auto"/>
          <w:highlight w:val="none"/>
        </w:rPr>
        <w:t>二、磋商文件</w:t>
      </w:r>
      <w:r>
        <w:rPr>
          <w:color w:val="auto"/>
          <w:highlight w:val="none"/>
        </w:rPr>
        <w:tab/>
      </w:r>
      <w:r>
        <w:rPr>
          <w:color w:val="auto"/>
          <w:highlight w:val="none"/>
        </w:rPr>
        <w:fldChar w:fldCharType="begin"/>
      </w:r>
      <w:r>
        <w:rPr>
          <w:color w:val="auto"/>
          <w:highlight w:val="none"/>
        </w:rPr>
        <w:instrText xml:space="preserve"> PAGEREF _Toc28736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3AF3132C">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_Toc30018 </w:instrText>
      </w:r>
      <w:r>
        <w:rPr>
          <w:color w:val="auto"/>
          <w:highlight w:val="none"/>
        </w:rPr>
        <w:fldChar w:fldCharType="separate"/>
      </w:r>
      <w:r>
        <w:rPr>
          <w:rFonts w:hint="eastAsia" w:ascii="宋体" w:hAnsi="宋体"/>
          <w:color w:val="auto"/>
          <w:highlight w:val="none"/>
        </w:rPr>
        <w:t>6．磋商文件组成</w:t>
      </w:r>
      <w:r>
        <w:rPr>
          <w:color w:val="auto"/>
          <w:highlight w:val="none"/>
        </w:rPr>
        <w:tab/>
      </w:r>
      <w:r>
        <w:rPr>
          <w:color w:val="auto"/>
          <w:highlight w:val="none"/>
        </w:rPr>
        <w:fldChar w:fldCharType="begin"/>
      </w:r>
      <w:r>
        <w:rPr>
          <w:color w:val="auto"/>
          <w:highlight w:val="none"/>
        </w:rPr>
        <w:instrText xml:space="preserve"> PAGEREF _Toc30018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78E81B22">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_Toc7192 </w:instrText>
      </w:r>
      <w:r>
        <w:rPr>
          <w:color w:val="auto"/>
          <w:highlight w:val="none"/>
        </w:rPr>
        <w:fldChar w:fldCharType="separate"/>
      </w:r>
      <w:r>
        <w:rPr>
          <w:rFonts w:hint="eastAsia" w:ascii="宋体" w:hAnsi="宋体"/>
          <w:color w:val="auto"/>
          <w:highlight w:val="none"/>
        </w:rPr>
        <w:t>7．磋商文件的澄清和修改</w:t>
      </w:r>
      <w:r>
        <w:rPr>
          <w:color w:val="auto"/>
          <w:highlight w:val="none"/>
        </w:rPr>
        <w:tab/>
      </w:r>
      <w:r>
        <w:rPr>
          <w:color w:val="auto"/>
          <w:highlight w:val="none"/>
        </w:rPr>
        <w:fldChar w:fldCharType="begin"/>
      </w:r>
      <w:r>
        <w:rPr>
          <w:color w:val="auto"/>
          <w:highlight w:val="none"/>
        </w:rPr>
        <w:instrText xml:space="preserve"> PAGEREF _Toc7192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49332D1D">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_Toc13491 </w:instrText>
      </w:r>
      <w:r>
        <w:rPr>
          <w:color w:val="auto"/>
          <w:highlight w:val="none"/>
        </w:rPr>
        <w:fldChar w:fldCharType="separate"/>
      </w:r>
      <w:r>
        <w:rPr>
          <w:rFonts w:hint="eastAsia" w:ascii="宋体" w:hAnsi="宋体" w:eastAsia="宋体"/>
          <w:color w:val="auto"/>
          <w:highlight w:val="none"/>
        </w:rPr>
        <w:t>三、磋商响应文件</w:t>
      </w:r>
      <w:r>
        <w:rPr>
          <w:color w:val="auto"/>
          <w:highlight w:val="none"/>
        </w:rPr>
        <w:tab/>
      </w:r>
      <w:r>
        <w:rPr>
          <w:color w:val="auto"/>
          <w:highlight w:val="none"/>
        </w:rPr>
        <w:fldChar w:fldCharType="begin"/>
      </w:r>
      <w:r>
        <w:rPr>
          <w:color w:val="auto"/>
          <w:highlight w:val="none"/>
        </w:rPr>
        <w:instrText xml:space="preserve"> PAGEREF _Toc13491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7F9C1338">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_Toc30589 </w:instrText>
      </w:r>
      <w:r>
        <w:rPr>
          <w:color w:val="auto"/>
          <w:highlight w:val="none"/>
        </w:rPr>
        <w:fldChar w:fldCharType="separate"/>
      </w:r>
      <w:r>
        <w:rPr>
          <w:rFonts w:hint="eastAsia" w:ascii="宋体" w:hAnsi="宋体"/>
          <w:color w:val="auto"/>
          <w:highlight w:val="none"/>
        </w:rPr>
        <w:t>8．编制响应文件的工具</w:t>
      </w:r>
      <w:r>
        <w:rPr>
          <w:color w:val="auto"/>
          <w:highlight w:val="none"/>
        </w:rPr>
        <w:tab/>
      </w:r>
      <w:r>
        <w:rPr>
          <w:color w:val="auto"/>
          <w:highlight w:val="none"/>
        </w:rPr>
        <w:fldChar w:fldCharType="begin"/>
      </w:r>
      <w:r>
        <w:rPr>
          <w:color w:val="auto"/>
          <w:highlight w:val="none"/>
        </w:rPr>
        <w:instrText xml:space="preserve"> PAGEREF _Toc30589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02AFA9EF">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_Toc11644 </w:instrText>
      </w:r>
      <w:r>
        <w:rPr>
          <w:color w:val="auto"/>
          <w:highlight w:val="none"/>
        </w:rPr>
        <w:fldChar w:fldCharType="separate"/>
      </w:r>
      <w:r>
        <w:rPr>
          <w:rFonts w:hint="eastAsia" w:ascii="宋体" w:hAnsi="宋体"/>
          <w:color w:val="auto"/>
          <w:highlight w:val="none"/>
        </w:rPr>
        <w:t>9．响应文件语言及度量衡单位</w:t>
      </w:r>
      <w:r>
        <w:rPr>
          <w:color w:val="auto"/>
          <w:highlight w:val="none"/>
        </w:rPr>
        <w:tab/>
      </w:r>
      <w:r>
        <w:rPr>
          <w:color w:val="auto"/>
          <w:highlight w:val="none"/>
        </w:rPr>
        <w:fldChar w:fldCharType="begin"/>
      </w:r>
      <w:r>
        <w:rPr>
          <w:color w:val="auto"/>
          <w:highlight w:val="none"/>
        </w:rPr>
        <w:instrText xml:space="preserve"> PAGEREF _Toc11644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7EA51AE5">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_Toc25557 </w:instrText>
      </w:r>
      <w:r>
        <w:rPr>
          <w:color w:val="auto"/>
          <w:highlight w:val="none"/>
        </w:rPr>
        <w:fldChar w:fldCharType="separate"/>
      </w:r>
      <w:r>
        <w:rPr>
          <w:rFonts w:hint="eastAsia" w:ascii="宋体" w:hAnsi="宋体"/>
          <w:color w:val="auto"/>
          <w:highlight w:val="none"/>
        </w:rPr>
        <w:t>10．响应文件的构成</w:t>
      </w:r>
      <w:r>
        <w:rPr>
          <w:color w:val="auto"/>
          <w:highlight w:val="none"/>
        </w:rPr>
        <w:tab/>
      </w:r>
      <w:r>
        <w:rPr>
          <w:color w:val="auto"/>
          <w:highlight w:val="none"/>
        </w:rPr>
        <w:fldChar w:fldCharType="begin"/>
      </w:r>
      <w:r>
        <w:rPr>
          <w:color w:val="auto"/>
          <w:highlight w:val="none"/>
        </w:rPr>
        <w:instrText xml:space="preserve"> PAGEREF _Toc25557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422F0044">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_Toc32121 </w:instrText>
      </w:r>
      <w:r>
        <w:rPr>
          <w:color w:val="auto"/>
          <w:highlight w:val="none"/>
        </w:rPr>
        <w:fldChar w:fldCharType="separate"/>
      </w:r>
      <w:r>
        <w:rPr>
          <w:rFonts w:hint="eastAsia" w:ascii="宋体" w:hAnsi="宋体"/>
          <w:color w:val="auto"/>
          <w:highlight w:val="none"/>
        </w:rPr>
        <w:t>11．响应文件的编写</w:t>
      </w:r>
      <w:r>
        <w:rPr>
          <w:color w:val="auto"/>
          <w:highlight w:val="none"/>
        </w:rPr>
        <w:tab/>
      </w:r>
      <w:r>
        <w:rPr>
          <w:color w:val="auto"/>
          <w:highlight w:val="none"/>
        </w:rPr>
        <w:fldChar w:fldCharType="begin"/>
      </w:r>
      <w:r>
        <w:rPr>
          <w:color w:val="auto"/>
          <w:highlight w:val="none"/>
        </w:rPr>
        <w:instrText xml:space="preserve"> PAGEREF _Toc32121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169E9593">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_Toc26993 </w:instrText>
      </w:r>
      <w:r>
        <w:rPr>
          <w:color w:val="auto"/>
          <w:highlight w:val="none"/>
        </w:rPr>
        <w:fldChar w:fldCharType="separate"/>
      </w:r>
      <w:r>
        <w:rPr>
          <w:rFonts w:hint="eastAsia" w:ascii="宋体" w:hAnsi="宋体"/>
          <w:color w:val="auto"/>
          <w:highlight w:val="none"/>
        </w:rPr>
        <w:t>12．响应报价</w:t>
      </w:r>
      <w:r>
        <w:rPr>
          <w:color w:val="auto"/>
          <w:highlight w:val="none"/>
        </w:rPr>
        <w:tab/>
      </w:r>
      <w:r>
        <w:rPr>
          <w:color w:val="auto"/>
          <w:highlight w:val="none"/>
        </w:rPr>
        <w:fldChar w:fldCharType="begin"/>
      </w:r>
      <w:r>
        <w:rPr>
          <w:color w:val="auto"/>
          <w:highlight w:val="none"/>
        </w:rPr>
        <w:instrText xml:space="preserve"> PAGEREF _Toc26993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17BF8398">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_Toc28177 </w:instrText>
      </w:r>
      <w:r>
        <w:rPr>
          <w:color w:val="auto"/>
          <w:highlight w:val="none"/>
        </w:rPr>
        <w:fldChar w:fldCharType="separate"/>
      </w:r>
      <w:r>
        <w:rPr>
          <w:rFonts w:hint="eastAsia" w:ascii="宋体" w:hAnsi="宋体"/>
          <w:color w:val="auto"/>
          <w:highlight w:val="none"/>
        </w:rPr>
        <w:t>13．磋商保证金</w:t>
      </w:r>
      <w:r>
        <w:rPr>
          <w:color w:val="auto"/>
          <w:highlight w:val="none"/>
        </w:rPr>
        <w:tab/>
      </w:r>
      <w:r>
        <w:rPr>
          <w:color w:val="auto"/>
          <w:highlight w:val="none"/>
        </w:rPr>
        <w:fldChar w:fldCharType="begin"/>
      </w:r>
      <w:r>
        <w:rPr>
          <w:color w:val="auto"/>
          <w:highlight w:val="none"/>
        </w:rPr>
        <w:instrText xml:space="preserve"> PAGEREF _Toc28177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358D0214">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_Toc27914 </w:instrText>
      </w:r>
      <w:r>
        <w:rPr>
          <w:color w:val="auto"/>
          <w:highlight w:val="none"/>
        </w:rPr>
        <w:fldChar w:fldCharType="separate"/>
      </w:r>
      <w:r>
        <w:rPr>
          <w:rFonts w:hint="eastAsia" w:ascii="宋体" w:hAnsi="宋体"/>
          <w:color w:val="auto"/>
          <w:highlight w:val="none"/>
        </w:rPr>
        <w:t>14．磋商响应有效期</w:t>
      </w:r>
      <w:r>
        <w:rPr>
          <w:color w:val="auto"/>
          <w:highlight w:val="none"/>
        </w:rPr>
        <w:tab/>
      </w:r>
      <w:r>
        <w:rPr>
          <w:color w:val="auto"/>
          <w:highlight w:val="none"/>
        </w:rPr>
        <w:fldChar w:fldCharType="begin"/>
      </w:r>
      <w:r>
        <w:rPr>
          <w:color w:val="auto"/>
          <w:highlight w:val="none"/>
        </w:rPr>
        <w:instrText xml:space="preserve"> PAGEREF _Toc27914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06451101">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_Toc22077 </w:instrText>
      </w:r>
      <w:r>
        <w:rPr>
          <w:color w:val="auto"/>
          <w:highlight w:val="none"/>
        </w:rPr>
        <w:fldChar w:fldCharType="separate"/>
      </w:r>
      <w:r>
        <w:rPr>
          <w:rFonts w:hint="eastAsia" w:ascii="宋体" w:hAnsi="宋体"/>
          <w:color w:val="auto"/>
          <w:highlight w:val="none"/>
        </w:rPr>
        <w:t>15. 响应文件的式样和签署</w:t>
      </w:r>
      <w:r>
        <w:rPr>
          <w:color w:val="auto"/>
          <w:highlight w:val="none"/>
        </w:rPr>
        <w:tab/>
      </w:r>
      <w:r>
        <w:rPr>
          <w:color w:val="auto"/>
          <w:highlight w:val="none"/>
        </w:rPr>
        <w:fldChar w:fldCharType="begin"/>
      </w:r>
      <w:r>
        <w:rPr>
          <w:color w:val="auto"/>
          <w:highlight w:val="none"/>
        </w:rPr>
        <w:instrText xml:space="preserve"> PAGEREF _Toc22077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46749C0B">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_Toc572 </w:instrText>
      </w:r>
      <w:r>
        <w:rPr>
          <w:color w:val="auto"/>
          <w:highlight w:val="none"/>
        </w:rPr>
        <w:fldChar w:fldCharType="separate"/>
      </w:r>
      <w:r>
        <w:rPr>
          <w:rFonts w:hint="eastAsia" w:ascii="宋体" w:hAnsi="宋体"/>
          <w:color w:val="auto"/>
          <w:highlight w:val="none"/>
        </w:rPr>
        <w:t>16．响应文件的提交</w:t>
      </w:r>
      <w:r>
        <w:rPr>
          <w:color w:val="auto"/>
          <w:highlight w:val="none"/>
        </w:rPr>
        <w:tab/>
      </w:r>
      <w:r>
        <w:rPr>
          <w:color w:val="auto"/>
          <w:highlight w:val="none"/>
        </w:rPr>
        <w:fldChar w:fldCharType="begin"/>
      </w:r>
      <w:r>
        <w:rPr>
          <w:color w:val="auto"/>
          <w:highlight w:val="none"/>
        </w:rPr>
        <w:instrText xml:space="preserve"> PAGEREF _Toc572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43945B0C">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_Toc14762 </w:instrText>
      </w:r>
      <w:r>
        <w:rPr>
          <w:color w:val="auto"/>
          <w:highlight w:val="none"/>
        </w:rPr>
        <w:fldChar w:fldCharType="separate"/>
      </w:r>
      <w:r>
        <w:rPr>
          <w:rFonts w:hint="eastAsia" w:ascii="宋体" w:hAnsi="宋体"/>
          <w:color w:val="auto"/>
          <w:highlight w:val="none"/>
        </w:rPr>
        <w:t>17．响应文件的补充、修改或者撤回</w:t>
      </w:r>
      <w:r>
        <w:rPr>
          <w:color w:val="auto"/>
          <w:highlight w:val="none"/>
        </w:rPr>
        <w:tab/>
      </w:r>
      <w:r>
        <w:rPr>
          <w:color w:val="auto"/>
          <w:highlight w:val="none"/>
        </w:rPr>
        <w:fldChar w:fldCharType="begin"/>
      </w:r>
      <w:r>
        <w:rPr>
          <w:color w:val="auto"/>
          <w:highlight w:val="none"/>
        </w:rPr>
        <w:instrText xml:space="preserve"> PAGEREF _Toc14762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58851D64">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_Toc19086 </w:instrText>
      </w:r>
      <w:r>
        <w:rPr>
          <w:color w:val="auto"/>
          <w:highlight w:val="none"/>
        </w:rPr>
        <w:fldChar w:fldCharType="separate"/>
      </w:r>
      <w:r>
        <w:rPr>
          <w:rFonts w:hint="eastAsia" w:ascii="宋体" w:hAnsi="宋体" w:eastAsia="宋体"/>
          <w:color w:val="auto"/>
          <w:highlight w:val="none"/>
        </w:rPr>
        <w:t>四、磋商与评审</w:t>
      </w:r>
      <w:r>
        <w:rPr>
          <w:color w:val="auto"/>
          <w:highlight w:val="none"/>
        </w:rPr>
        <w:tab/>
      </w:r>
      <w:r>
        <w:rPr>
          <w:color w:val="auto"/>
          <w:highlight w:val="none"/>
        </w:rPr>
        <w:fldChar w:fldCharType="begin"/>
      </w:r>
      <w:r>
        <w:rPr>
          <w:color w:val="auto"/>
          <w:highlight w:val="none"/>
        </w:rPr>
        <w:instrText xml:space="preserve"> PAGEREF _Toc19086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67AB6535">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_Toc30218 </w:instrText>
      </w:r>
      <w:r>
        <w:rPr>
          <w:color w:val="auto"/>
          <w:highlight w:val="none"/>
        </w:rPr>
        <w:fldChar w:fldCharType="separate"/>
      </w:r>
      <w:r>
        <w:rPr>
          <w:rFonts w:hint="eastAsia" w:ascii="宋体" w:hAnsi="宋体"/>
          <w:color w:val="auto"/>
          <w:highlight w:val="none"/>
        </w:rPr>
        <w:t>18．磋商</w:t>
      </w:r>
      <w:r>
        <w:rPr>
          <w:color w:val="auto"/>
          <w:highlight w:val="none"/>
        </w:rPr>
        <w:tab/>
      </w:r>
      <w:r>
        <w:rPr>
          <w:color w:val="auto"/>
          <w:highlight w:val="none"/>
        </w:rPr>
        <w:fldChar w:fldCharType="begin"/>
      </w:r>
      <w:r>
        <w:rPr>
          <w:color w:val="auto"/>
          <w:highlight w:val="none"/>
        </w:rPr>
        <w:instrText xml:space="preserve"> PAGEREF _Toc30218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74F52B27">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_Toc3596 </w:instrText>
      </w:r>
      <w:r>
        <w:rPr>
          <w:color w:val="auto"/>
          <w:highlight w:val="none"/>
        </w:rPr>
        <w:fldChar w:fldCharType="separate"/>
      </w:r>
      <w:r>
        <w:rPr>
          <w:rFonts w:hint="eastAsia" w:ascii="宋体" w:hAnsi="宋体"/>
          <w:color w:val="auto"/>
          <w:highlight w:val="none"/>
        </w:rPr>
        <w:t>19．磋商小组组成</w:t>
      </w:r>
      <w:r>
        <w:rPr>
          <w:color w:val="auto"/>
          <w:highlight w:val="none"/>
        </w:rPr>
        <w:tab/>
      </w:r>
      <w:r>
        <w:rPr>
          <w:color w:val="auto"/>
          <w:highlight w:val="none"/>
        </w:rPr>
        <w:fldChar w:fldCharType="begin"/>
      </w:r>
      <w:r>
        <w:rPr>
          <w:color w:val="auto"/>
          <w:highlight w:val="none"/>
        </w:rPr>
        <w:instrText xml:space="preserve"> PAGEREF _Toc3596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24A2342F">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_Toc6099 </w:instrText>
      </w:r>
      <w:r>
        <w:rPr>
          <w:color w:val="auto"/>
          <w:highlight w:val="none"/>
        </w:rPr>
        <w:fldChar w:fldCharType="separate"/>
      </w:r>
      <w:r>
        <w:rPr>
          <w:rFonts w:hint="eastAsia" w:ascii="宋体" w:hAnsi="宋体"/>
          <w:color w:val="auto"/>
          <w:highlight w:val="none"/>
        </w:rPr>
        <w:t>20．无效磋商的情形</w:t>
      </w:r>
      <w:r>
        <w:rPr>
          <w:color w:val="auto"/>
          <w:highlight w:val="none"/>
        </w:rPr>
        <w:tab/>
      </w:r>
      <w:r>
        <w:rPr>
          <w:color w:val="auto"/>
          <w:highlight w:val="none"/>
        </w:rPr>
        <w:fldChar w:fldCharType="begin"/>
      </w:r>
      <w:r>
        <w:rPr>
          <w:color w:val="auto"/>
          <w:highlight w:val="none"/>
        </w:rPr>
        <w:instrText xml:space="preserve"> PAGEREF _Toc6099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26103539">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_Toc24970 </w:instrText>
      </w:r>
      <w:r>
        <w:rPr>
          <w:color w:val="auto"/>
          <w:highlight w:val="none"/>
        </w:rPr>
        <w:fldChar w:fldCharType="separate"/>
      </w:r>
      <w:r>
        <w:rPr>
          <w:rFonts w:hint="eastAsia" w:ascii="宋体" w:hAnsi="宋体"/>
          <w:color w:val="auto"/>
          <w:highlight w:val="none"/>
        </w:rPr>
        <w:t>21．串通磋商的情形</w:t>
      </w:r>
      <w:r>
        <w:rPr>
          <w:color w:val="auto"/>
          <w:highlight w:val="none"/>
        </w:rPr>
        <w:tab/>
      </w:r>
      <w:r>
        <w:rPr>
          <w:color w:val="auto"/>
          <w:highlight w:val="none"/>
        </w:rPr>
        <w:fldChar w:fldCharType="begin"/>
      </w:r>
      <w:r>
        <w:rPr>
          <w:color w:val="auto"/>
          <w:highlight w:val="none"/>
        </w:rPr>
        <w:instrText xml:space="preserve"> PAGEREF _Toc24970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4E5EA033">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_Toc31219 </w:instrText>
      </w:r>
      <w:r>
        <w:rPr>
          <w:color w:val="auto"/>
          <w:highlight w:val="none"/>
        </w:rPr>
        <w:fldChar w:fldCharType="separate"/>
      </w:r>
      <w:r>
        <w:rPr>
          <w:rFonts w:hint="eastAsia" w:ascii="宋体" w:hAnsi="宋体"/>
          <w:color w:val="auto"/>
          <w:highlight w:val="none"/>
        </w:rPr>
        <w:t>22．响应文件的澄清</w:t>
      </w:r>
      <w:r>
        <w:rPr>
          <w:color w:val="auto"/>
          <w:highlight w:val="none"/>
        </w:rPr>
        <w:tab/>
      </w:r>
      <w:r>
        <w:rPr>
          <w:color w:val="auto"/>
          <w:highlight w:val="none"/>
        </w:rPr>
        <w:fldChar w:fldCharType="begin"/>
      </w:r>
      <w:r>
        <w:rPr>
          <w:color w:val="auto"/>
          <w:highlight w:val="none"/>
        </w:rPr>
        <w:instrText xml:space="preserve"> PAGEREF _Toc31219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52E7FE40">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_Toc4089 </w:instrText>
      </w:r>
      <w:r>
        <w:rPr>
          <w:color w:val="auto"/>
          <w:highlight w:val="none"/>
        </w:rPr>
        <w:fldChar w:fldCharType="separate"/>
      </w:r>
      <w:r>
        <w:rPr>
          <w:rFonts w:hint="eastAsia" w:ascii="宋体" w:hAnsi="宋体"/>
          <w:color w:val="auto"/>
          <w:highlight w:val="none"/>
        </w:rPr>
        <w:t>23．磋商</w:t>
      </w:r>
      <w:r>
        <w:rPr>
          <w:rFonts w:hint="eastAsia" w:ascii="宋体" w:hAnsi="宋体"/>
          <w:color w:val="auto"/>
          <w:highlight w:val="none"/>
          <w:lang w:eastAsia="zh-CN"/>
        </w:rPr>
        <w:t>程序</w:t>
      </w:r>
      <w:r>
        <w:rPr>
          <w:color w:val="auto"/>
          <w:highlight w:val="none"/>
        </w:rPr>
        <w:tab/>
      </w:r>
      <w:r>
        <w:rPr>
          <w:color w:val="auto"/>
          <w:highlight w:val="none"/>
        </w:rPr>
        <w:fldChar w:fldCharType="begin"/>
      </w:r>
      <w:r>
        <w:rPr>
          <w:color w:val="auto"/>
          <w:highlight w:val="none"/>
        </w:rPr>
        <w:instrText xml:space="preserve"> PAGEREF _Toc4089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5400CF9F">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_Toc12369 </w:instrText>
      </w:r>
      <w:r>
        <w:rPr>
          <w:color w:val="auto"/>
          <w:highlight w:val="none"/>
        </w:rPr>
        <w:fldChar w:fldCharType="separate"/>
      </w:r>
      <w:r>
        <w:rPr>
          <w:rFonts w:hint="eastAsia" w:ascii="宋体" w:hAnsi="宋体"/>
          <w:color w:val="auto"/>
          <w:highlight w:val="none"/>
        </w:rPr>
        <w:t>2</w:t>
      </w:r>
      <w:r>
        <w:rPr>
          <w:rFonts w:hint="eastAsia" w:ascii="宋体" w:hAnsi="宋体"/>
          <w:color w:val="auto"/>
          <w:highlight w:val="none"/>
          <w:lang w:val="en-US" w:eastAsia="zh-CN"/>
        </w:rPr>
        <w:t>4</w:t>
      </w:r>
      <w:r>
        <w:rPr>
          <w:rFonts w:hint="eastAsia" w:ascii="宋体" w:hAnsi="宋体"/>
          <w:color w:val="auto"/>
          <w:highlight w:val="none"/>
        </w:rPr>
        <w:t>．</w:t>
      </w:r>
      <w:r>
        <w:rPr>
          <w:rFonts w:ascii="宋体" w:hAnsi="宋体"/>
          <w:color w:val="auto"/>
          <w:highlight w:val="none"/>
        </w:rPr>
        <w:t>竞争性磋商</w:t>
      </w:r>
      <w:r>
        <w:rPr>
          <w:rFonts w:hint="eastAsia" w:ascii="宋体" w:hAnsi="宋体"/>
          <w:color w:val="auto"/>
          <w:highlight w:val="none"/>
        </w:rPr>
        <w:t>特殊情况处理</w:t>
      </w:r>
      <w:r>
        <w:rPr>
          <w:color w:val="auto"/>
          <w:highlight w:val="none"/>
        </w:rPr>
        <w:tab/>
      </w:r>
      <w:r>
        <w:rPr>
          <w:color w:val="auto"/>
          <w:highlight w:val="none"/>
        </w:rPr>
        <w:fldChar w:fldCharType="begin"/>
      </w:r>
      <w:r>
        <w:rPr>
          <w:color w:val="auto"/>
          <w:highlight w:val="none"/>
        </w:rPr>
        <w:instrText xml:space="preserve"> PAGEREF _Toc12369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4912B8F8">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_Toc26495 </w:instrText>
      </w:r>
      <w:r>
        <w:rPr>
          <w:color w:val="auto"/>
          <w:highlight w:val="none"/>
        </w:rPr>
        <w:fldChar w:fldCharType="separate"/>
      </w:r>
      <w:r>
        <w:rPr>
          <w:rFonts w:hint="eastAsia" w:ascii="宋体" w:hAnsi="宋体" w:eastAsia="宋体"/>
          <w:color w:val="auto"/>
          <w:highlight w:val="none"/>
        </w:rPr>
        <w:t>五、确定成交结果</w:t>
      </w:r>
      <w:r>
        <w:rPr>
          <w:color w:val="auto"/>
          <w:highlight w:val="none"/>
        </w:rPr>
        <w:tab/>
      </w:r>
      <w:r>
        <w:rPr>
          <w:color w:val="auto"/>
          <w:highlight w:val="none"/>
        </w:rPr>
        <w:fldChar w:fldCharType="begin"/>
      </w:r>
      <w:r>
        <w:rPr>
          <w:color w:val="auto"/>
          <w:highlight w:val="none"/>
        </w:rPr>
        <w:instrText xml:space="preserve"> PAGEREF _Toc26495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69B5FE99">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_Toc31493 </w:instrText>
      </w:r>
      <w:r>
        <w:rPr>
          <w:color w:val="auto"/>
          <w:highlight w:val="none"/>
        </w:rPr>
        <w:fldChar w:fldCharType="separate"/>
      </w:r>
      <w:r>
        <w:rPr>
          <w:rFonts w:hint="eastAsia" w:ascii="宋体" w:hAnsi="宋体"/>
          <w:color w:val="auto"/>
          <w:highlight w:val="none"/>
        </w:rPr>
        <w:t>2</w:t>
      </w:r>
      <w:r>
        <w:rPr>
          <w:rFonts w:hint="eastAsia" w:ascii="宋体" w:hAnsi="宋体"/>
          <w:color w:val="auto"/>
          <w:highlight w:val="none"/>
          <w:lang w:val="en-US" w:eastAsia="zh-CN"/>
        </w:rPr>
        <w:t>5</w:t>
      </w:r>
      <w:r>
        <w:rPr>
          <w:rFonts w:hint="eastAsia" w:ascii="宋体" w:hAnsi="宋体"/>
          <w:color w:val="auto"/>
          <w:highlight w:val="none"/>
        </w:rPr>
        <w:t>．确定成交供应商</w:t>
      </w:r>
      <w:r>
        <w:rPr>
          <w:color w:val="auto"/>
          <w:highlight w:val="none"/>
        </w:rPr>
        <w:tab/>
      </w:r>
      <w:r>
        <w:rPr>
          <w:color w:val="auto"/>
          <w:highlight w:val="none"/>
        </w:rPr>
        <w:fldChar w:fldCharType="begin"/>
      </w:r>
      <w:r>
        <w:rPr>
          <w:color w:val="auto"/>
          <w:highlight w:val="none"/>
        </w:rPr>
        <w:instrText xml:space="preserve"> PAGEREF _Toc31493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00854319">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_Toc20526 </w:instrText>
      </w:r>
      <w:r>
        <w:rPr>
          <w:color w:val="auto"/>
          <w:highlight w:val="none"/>
        </w:rPr>
        <w:fldChar w:fldCharType="separate"/>
      </w:r>
      <w:r>
        <w:rPr>
          <w:rFonts w:hint="eastAsia" w:ascii="宋体" w:hAnsi="宋体" w:eastAsia="宋体"/>
          <w:color w:val="auto"/>
          <w:highlight w:val="none"/>
        </w:rPr>
        <w:t>六、授予合同</w:t>
      </w:r>
      <w:r>
        <w:rPr>
          <w:color w:val="auto"/>
          <w:highlight w:val="none"/>
        </w:rPr>
        <w:tab/>
      </w:r>
      <w:r>
        <w:rPr>
          <w:color w:val="auto"/>
          <w:highlight w:val="none"/>
        </w:rPr>
        <w:fldChar w:fldCharType="begin"/>
      </w:r>
      <w:r>
        <w:rPr>
          <w:color w:val="auto"/>
          <w:highlight w:val="none"/>
        </w:rPr>
        <w:instrText xml:space="preserve"> PAGEREF _Toc20526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5D4F4DE7">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_Toc12469 </w:instrText>
      </w:r>
      <w:r>
        <w:rPr>
          <w:color w:val="auto"/>
          <w:highlight w:val="none"/>
        </w:rPr>
        <w:fldChar w:fldCharType="separate"/>
      </w:r>
      <w:r>
        <w:rPr>
          <w:rFonts w:hint="eastAsia" w:ascii="宋体" w:hAnsi="宋体"/>
          <w:color w:val="auto"/>
          <w:highlight w:val="none"/>
        </w:rPr>
        <w:t>2</w:t>
      </w:r>
      <w:r>
        <w:rPr>
          <w:rFonts w:hint="eastAsia" w:ascii="宋体" w:hAnsi="宋体"/>
          <w:color w:val="auto"/>
          <w:highlight w:val="none"/>
          <w:lang w:val="en-US" w:eastAsia="zh-CN"/>
        </w:rPr>
        <w:t>6</w:t>
      </w:r>
      <w:r>
        <w:rPr>
          <w:rFonts w:hint="eastAsia" w:ascii="宋体" w:hAnsi="宋体"/>
          <w:color w:val="auto"/>
          <w:highlight w:val="none"/>
        </w:rPr>
        <w:t>．磋商组织方接受和拒绝任何或所有响应的权利</w:t>
      </w:r>
      <w:r>
        <w:rPr>
          <w:color w:val="auto"/>
          <w:highlight w:val="none"/>
        </w:rPr>
        <w:tab/>
      </w:r>
      <w:r>
        <w:rPr>
          <w:color w:val="auto"/>
          <w:highlight w:val="none"/>
        </w:rPr>
        <w:fldChar w:fldCharType="begin"/>
      </w:r>
      <w:r>
        <w:rPr>
          <w:color w:val="auto"/>
          <w:highlight w:val="none"/>
        </w:rPr>
        <w:instrText xml:space="preserve"> PAGEREF _Toc12469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5C6128A9">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_Toc395 </w:instrText>
      </w:r>
      <w:r>
        <w:rPr>
          <w:color w:val="auto"/>
          <w:highlight w:val="none"/>
        </w:rPr>
        <w:fldChar w:fldCharType="separate"/>
      </w:r>
      <w:r>
        <w:rPr>
          <w:rFonts w:hint="eastAsia" w:ascii="宋体" w:hAnsi="宋体"/>
          <w:color w:val="auto"/>
          <w:highlight w:val="none"/>
        </w:rPr>
        <w:t>2</w:t>
      </w:r>
      <w:r>
        <w:rPr>
          <w:rFonts w:hint="eastAsia" w:ascii="宋体" w:hAnsi="宋体"/>
          <w:color w:val="auto"/>
          <w:highlight w:val="none"/>
          <w:lang w:val="en-US" w:eastAsia="zh-CN"/>
        </w:rPr>
        <w:t>7</w:t>
      </w:r>
      <w:r>
        <w:rPr>
          <w:rFonts w:hint="eastAsia" w:ascii="宋体" w:hAnsi="宋体"/>
          <w:color w:val="auto"/>
          <w:highlight w:val="none"/>
        </w:rPr>
        <w:t>．成交通知书</w:t>
      </w:r>
      <w:r>
        <w:rPr>
          <w:color w:val="auto"/>
          <w:highlight w:val="none"/>
        </w:rPr>
        <w:tab/>
      </w:r>
      <w:r>
        <w:rPr>
          <w:color w:val="auto"/>
          <w:highlight w:val="none"/>
        </w:rPr>
        <w:fldChar w:fldCharType="begin"/>
      </w:r>
      <w:r>
        <w:rPr>
          <w:color w:val="auto"/>
          <w:highlight w:val="none"/>
        </w:rPr>
        <w:instrText xml:space="preserve"> PAGEREF _Toc395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04805931">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_Toc16506 </w:instrText>
      </w:r>
      <w:r>
        <w:rPr>
          <w:color w:val="auto"/>
          <w:highlight w:val="none"/>
        </w:rPr>
        <w:fldChar w:fldCharType="separate"/>
      </w:r>
      <w:r>
        <w:rPr>
          <w:rFonts w:hint="eastAsia" w:ascii="宋体" w:hAnsi="宋体"/>
          <w:color w:val="auto"/>
          <w:highlight w:val="none"/>
        </w:rPr>
        <w:t>2</w:t>
      </w:r>
      <w:r>
        <w:rPr>
          <w:rFonts w:hint="eastAsia" w:ascii="宋体" w:hAnsi="宋体"/>
          <w:color w:val="auto"/>
          <w:highlight w:val="none"/>
          <w:lang w:val="en-US" w:eastAsia="zh-CN"/>
        </w:rPr>
        <w:t>8</w:t>
      </w:r>
      <w:r>
        <w:rPr>
          <w:rFonts w:hint="eastAsia" w:ascii="宋体" w:hAnsi="宋体"/>
          <w:color w:val="auto"/>
          <w:highlight w:val="none"/>
        </w:rPr>
        <w:t>．签订合同</w:t>
      </w:r>
      <w:r>
        <w:rPr>
          <w:color w:val="auto"/>
          <w:highlight w:val="none"/>
        </w:rPr>
        <w:tab/>
      </w:r>
      <w:r>
        <w:rPr>
          <w:color w:val="auto"/>
          <w:highlight w:val="none"/>
        </w:rPr>
        <w:fldChar w:fldCharType="begin"/>
      </w:r>
      <w:r>
        <w:rPr>
          <w:color w:val="auto"/>
          <w:highlight w:val="none"/>
        </w:rPr>
        <w:instrText xml:space="preserve"> PAGEREF _Toc16506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6F02E7DE">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_Toc5450 </w:instrText>
      </w:r>
      <w:r>
        <w:rPr>
          <w:color w:val="auto"/>
          <w:highlight w:val="none"/>
        </w:rPr>
        <w:fldChar w:fldCharType="separate"/>
      </w:r>
      <w:r>
        <w:rPr>
          <w:rFonts w:hint="eastAsia" w:ascii="宋体" w:hAnsi="宋体"/>
          <w:color w:val="auto"/>
          <w:highlight w:val="none"/>
          <w:lang w:val="en-US" w:eastAsia="zh-CN"/>
        </w:rPr>
        <w:t>29</w:t>
      </w:r>
      <w:r>
        <w:rPr>
          <w:rFonts w:hint="eastAsia" w:ascii="宋体" w:hAnsi="宋体"/>
          <w:color w:val="auto"/>
          <w:highlight w:val="none"/>
        </w:rPr>
        <w:t>．履约保证金</w:t>
      </w:r>
      <w:r>
        <w:rPr>
          <w:color w:val="auto"/>
          <w:highlight w:val="none"/>
        </w:rPr>
        <w:tab/>
      </w:r>
      <w:r>
        <w:rPr>
          <w:color w:val="auto"/>
          <w:highlight w:val="none"/>
        </w:rPr>
        <w:fldChar w:fldCharType="begin"/>
      </w:r>
      <w:r>
        <w:rPr>
          <w:color w:val="auto"/>
          <w:highlight w:val="none"/>
        </w:rPr>
        <w:instrText xml:space="preserve"> PAGEREF _Toc5450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2C9AEAB7">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_Toc12337 </w:instrText>
      </w:r>
      <w:r>
        <w:rPr>
          <w:color w:val="auto"/>
          <w:highlight w:val="none"/>
        </w:rPr>
        <w:fldChar w:fldCharType="separate"/>
      </w:r>
      <w:r>
        <w:rPr>
          <w:rFonts w:hint="eastAsia" w:ascii="宋体" w:hAnsi="宋体" w:eastAsia="宋体"/>
          <w:color w:val="auto"/>
          <w:highlight w:val="none"/>
        </w:rPr>
        <w:t>七、询问、质疑、投诉</w:t>
      </w:r>
      <w:r>
        <w:rPr>
          <w:color w:val="auto"/>
          <w:highlight w:val="none"/>
        </w:rPr>
        <w:tab/>
      </w:r>
      <w:r>
        <w:rPr>
          <w:color w:val="auto"/>
          <w:highlight w:val="none"/>
        </w:rPr>
        <w:fldChar w:fldCharType="begin"/>
      </w:r>
      <w:r>
        <w:rPr>
          <w:color w:val="auto"/>
          <w:highlight w:val="none"/>
        </w:rPr>
        <w:instrText xml:space="preserve"> PAGEREF _Toc12337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42E0F6EA">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_Toc26856 </w:instrText>
      </w:r>
      <w:r>
        <w:rPr>
          <w:color w:val="auto"/>
          <w:highlight w:val="none"/>
        </w:rPr>
        <w:fldChar w:fldCharType="separate"/>
      </w:r>
      <w:r>
        <w:rPr>
          <w:rFonts w:hint="eastAsia" w:ascii="宋体" w:hAnsi="宋体"/>
          <w:color w:val="auto"/>
          <w:highlight w:val="none"/>
        </w:rPr>
        <w:t>3</w:t>
      </w:r>
      <w:r>
        <w:rPr>
          <w:rFonts w:hint="eastAsia" w:ascii="宋体" w:hAnsi="宋体"/>
          <w:color w:val="auto"/>
          <w:highlight w:val="none"/>
          <w:lang w:val="en-US" w:eastAsia="zh-CN"/>
        </w:rPr>
        <w:t>0</w:t>
      </w:r>
      <w:r>
        <w:rPr>
          <w:rFonts w:hint="eastAsia" w:ascii="宋体" w:hAnsi="宋体"/>
          <w:color w:val="auto"/>
          <w:highlight w:val="none"/>
        </w:rPr>
        <w:t>．询问</w:t>
      </w:r>
      <w:r>
        <w:rPr>
          <w:color w:val="auto"/>
          <w:highlight w:val="none"/>
        </w:rPr>
        <w:tab/>
      </w:r>
      <w:r>
        <w:rPr>
          <w:color w:val="auto"/>
          <w:highlight w:val="none"/>
        </w:rPr>
        <w:fldChar w:fldCharType="begin"/>
      </w:r>
      <w:r>
        <w:rPr>
          <w:color w:val="auto"/>
          <w:highlight w:val="none"/>
        </w:rPr>
        <w:instrText xml:space="preserve"> PAGEREF _Toc26856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35F6FC20">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_Toc25135 </w:instrText>
      </w:r>
      <w:r>
        <w:rPr>
          <w:color w:val="auto"/>
          <w:highlight w:val="none"/>
        </w:rPr>
        <w:fldChar w:fldCharType="separate"/>
      </w:r>
      <w:r>
        <w:rPr>
          <w:rFonts w:hint="eastAsia" w:ascii="宋体" w:hAnsi="宋体"/>
          <w:color w:val="auto"/>
          <w:highlight w:val="none"/>
        </w:rPr>
        <w:t>3</w:t>
      </w:r>
      <w:r>
        <w:rPr>
          <w:rFonts w:hint="eastAsia" w:ascii="宋体" w:hAnsi="宋体"/>
          <w:color w:val="auto"/>
          <w:highlight w:val="none"/>
          <w:lang w:val="en-US" w:eastAsia="zh-CN"/>
        </w:rPr>
        <w:t>1</w:t>
      </w:r>
      <w:r>
        <w:rPr>
          <w:rFonts w:hint="eastAsia" w:ascii="宋体" w:hAnsi="宋体"/>
          <w:color w:val="auto"/>
          <w:highlight w:val="none"/>
        </w:rPr>
        <w:t>．质疑</w:t>
      </w:r>
      <w:r>
        <w:rPr>
          <w:color w:val="auto"/>
          <w:highlight w:val="none"/>
        </w:rPr>
        <w:tab/>
      </w:r>
      <w:r>
        <w:rPr>
          <w:color w:val="auto"/>
          <w:highlight w:val="none"/>
        </w:rPr>
        <w:fldChar w:fldCharType="begin"/>
      </w:r>
      <w:r>
        <w:rPr>
          <w:color w:val="auto"/>
          <w:highlight w:val="none"/>
        </w:rPr>
        <w:instrText xml:space="preserve"> PAGEREF _Toc25135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32B8AC48">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_Toc3334 </w:instrText>
      </w:r>
      <w:r>
        <w:rPr>
          <w:color w:val="auto"/>
          <w:highlight w:val="none"/>
        </w:rPr>
        <w:fldChar w:fldCharType="separate"/>
      </w:r>
      <w:r>
        <w:rPr>
          <w:rFonts w:hint="eastAsia" w:ascii="宋体" w:hAnsi="宋体"/>
          <w:color w:val="auto"/>
          <w:highlight w:val="none"/>
        </w:rPr>
        <w:t>3</w:t>
      </w:r>
      <w:r>
        <w:rPr>
          <w:rFonts w:hint="eastAsia" w:ascii="宋体" w:hAnsi="宋体"/>
          <w:color w:val="auto"/>
          <w:highlight w:val="none"/>
          <w:lang w:val="en-US" w:eastAsia="zh-CN"/>
        </w:rPr>
        <w:t>2</w:t>
      </w:r>
      <w:r>
        <w:rPr>
          <w:rFonts w:hint="eastAsia" w:ascii="宋体" w:hAnsi="宋体"/>
          <w:color w:val="auto"/>
          <w:highlight w:val="none"/>
        </w:rPr>
        <w:t>．投诉</w:t>
      </w:r>
      <w:r>
        <w:rPr>
          <w:color w:val="auto"/>
          <w:highlight w:val="none"/>
        </w:rPr>
        <w:tab/>
      </w:r>
      <w:r>
        <w:rPr>
          <w:color w:val="auto"/>
          <w:highlight w:val="none"/>
        </w:rPr>
        <w:fldChar w:fldCharType="begin"/>
      </w:r>
      <w:r>
        <w:rPr>
          <w:color w:val="auto"/>
          <w:highlight w:val="none"/>
        </w:rPr>
        <w:instrText xml:space="preserve"> PAGEREF _Toc3334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57AF6747">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_Toc1451 </w:instrText>
      </w:r>
      <w:r>
        <w:rPr>
          <w:color w:val="auto"/>
          <w:highlight w:val="none"/>
        </w:rPr>
        <w:fldChar w:fldCharType="separate"/>
      </w:r>
      <w:r>
        <w:rPr>
          <w:rFonts w:hint="eastAsia" w:ascii="宋体" w:hAnsi="宋体" w:eastAsia="宋体"/>
          <w:color w:val="auto"/>
          <w:highlight w:val="none"/>
        </w:rPr>
        <w:t>八、诚实信用和解释权</w:t>
      </w:r>
      <w:r>
        <w:rPr>
          <w:color w:val="auto"/>
          <w:highlight w:val="none"/>
        </w:rPr>
        <w:tab/>
      </w:r>
      <w:r>
        <w:rPr>
          <w:color w:val="auto"/>
          <w:highlight w:val="none"/>
        </w:rPr>
        <w:fldChar w:fldCharType="begin"/>
      </w:r>
      <w:r>
        <w:rPr>
          <w:color w:val="auto"/>
          <w:highlight w:val="none"/>
        </w:rPr>
        <w:instrText xml:space="preserve"> PAGEREF _Toc1451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72BF0EF7">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_Toc14517 </w:instrText>
      </w:r>
      <w:r>
        <w:rPr>
          <w:color w:val="auto"/>
          <w:highlight w:val="none"/>
        </w:rPr>
        <w:fldChar w:fldCharType="separate"/>
      </w:r>
      <w:r>
        <w:rPr>
          <w:rFonts w:hint="eastAsia" w:ascii="宋体" w:hAnsi="宋体"/>
          <w:color w:val="auto"/>
          <w:highlight w:val="none"/>
        </w:rPr>
        <w:t>3</w:t>
      </w:r>
      <w:r>
        <w:rPr>
          <w:rFonts w:hint="eastAsia" w:ascii="宋体" w:hAnsi="宋体"/>
          <w:color w:val="auto"/>
          <w:highlight w:val="none"/>
          <w:lang w:val="en-US" w:eastAsia="zh-CN"/>
        </w:rPr>
        <w:t>3</w:t>
      </w:r>
      <w:r>
        <w:rPr>
          <w:rFonts w:hint="eastAsia" w:ascii="宋体" w:hAnsi="宋体"/>
          <w:color w:val="auto"/>
          <w:highlight w:val="none"/>
        </w:rPr>
        <w:t>．诚实信用</w:t>
      </w:r>
      <w:r>
        <w:rPr>
          <w:color w:val="auto"/>
          <w:highlight w:val="none"/>
        </w:rPr>
        <w:tab/>
      </w:r>
      <w:r>
        <w:rPr>
          <w:color w:val="auto"/>
          <w:highlight w:val="none"/>
        </w:rPr>
        <w:fldChar w:fldCharType="begin"/>
      </w:r>
      <w:r>
        <w:rPr>
          <w:color w:val="auto"/>
          <w:highlight w:val="none"/>
        </w:rPr>
        <w:instrText xml:space="preserve"> PAGEREF _Toc14517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5D6E236B">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_Toc28505 </w:instrText>
      </w:r>
      <w:r>
        <w:rPr>
          <w:color w:val="auto"/>
          <w:highlight w:val="none"/>
        </w:rPr>
        <w:fldChar w:fldCharType="separate"/>
      </w:r>
      <w:r>
        <w:rPr>
          <w:rFonts w:hint="eastAsia" w:ascii="宋体" w:hAnsi="宋体"/>
          <w:color w:val="auto"/>
          <w:highlight w:val="none"/>
        </w:rPr>
        <w:t>3</w:t>
      </w:r>
      <w:r>
        <w:rPr>
          <w:rFonts w:hint="eastAsia" w:ascii="宋体" w:hAnsi="宋体"/>
          <w:color w:val="auto"/>
          <w:highlight w:val="none"/>
          <w:lang w:val="en-US" w:eastAsia="zh-CN"/>
        </w:rPr>
        <w:t>4</w:t>
      </w:r>
      <w:r>
        <w:rPr>
          <w:rFonts w:hint="eastAsia" w:ascii="宋体" w:hAnsi="宋体"/>
          <w:color w:val="auto"/>
          <w:highlight w:val="none"/>
        </w:rPr>
        <w:t>．解释权</w:t>
      </w:r>
      <w:r>
        <w:rPr>
          <w:color w:val="auto"/>
          <w:highlight w:val="none"/>
        </w:rPr>
        <w:tab/>
      </w:r>
      <w:r>
        <w:rPr>
          <w:color w:val="auto"/>
          <w:highlight w:val="none"/>
        </w:rPr>
        <w:fldChar w:fldCharType="begin"/>
      </w:r>
      <w:r>
        <w:rPr>
          <w:color w:val="auto"/>
          <w:highlight w:val="none"/>
        </w:rPr>
        <w:instrText xml:space="preserve"> PAGEREF _Toc28505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15AAB0F1">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_Toc10263 </w:instrText>
      </w:r>
      <w:r>
        <w:rPr>
          <w:color w:val="auto"/>
          <w:highlight w:val="none"/>
        </w:rPr>
        <w:fldChar w:fldCharType="separate"/>
      </w:r>
      <w:r>
        <w:rPr>
          <w:rFonts w:hint="eastAsia" w:ascii="宋体" w:hAnsi="宋体"/>
          <w:color w:val="auto"/>
          <w:highlight w:val="none"/>
        </w:rPr>
        <w:t>3</w:t>
      </w:r>
      <w:r>
        <w:rPr>
          <w:rFonts w:hint="eastAsia" w:ascii="宋体" w:hAnsi="宋体"/>
          <w:color w:val="auto"/>
          <w:highlight w:val="none"/>
          <w:lang w:val="en-US" w:eastAsia="zh-CN"/>
        </w:rPr>
        <w:t>5</w:t>
      </w:r>
      <w:r>
        <w:rPr>
          <w:rFonts w:hint="eastAsia" w:ascii="宋体" w:hAnsi="宋体"/>
          <w:color w:val="auto"/>
          <w:highlight w:val="none"/>
        </w:rPr>
        <w:t>．适用法律及约束力</w:t>
      </w:r>
      <w:r>
        <w:rPr>
          <w:color w:val="auto"/>
          <w:highlight w:val="none"/>
        </w:rPr>
        <w:tab/>
      </w:r>
      <w:r>
        <w:rPr>
          <w:color w:val="auto"/>
          <w:highlight w:val="none"/>
        </w:rPr>
        <w:fldChar w:fldCharType="begin"/>
      </w:r>
      <w:r>
        <w:rPr>
          <w:color w:val="auto"/>
          <w:highlight w:val="none"/>
        </w:rPr>
        <w:instrText xml:space="preserve"> PAGEREF _Toc10263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24889A40">
      <w:pPr>
        <w:pStyle w:val="22"/>
        <w:tabs>
          <w:tab w:val="right" w:leader="dot" w:pos="8820"/>
        </w:tabs>
        <w:rPr>
          <w:color w:val="auto"/>
          <w:highlight w:val="none"/>
        </w:rPr>
      </w:pPr>
      <w:r>
        <w:rPr>
          <w:color w:val="auto"/>
          <w:highlight w:val="none"/>
        </w:rPr>
        <w:fldChar w:fldCharType="begin"/>
      </w:r>
      <w:r>
        <w:rPr>
          <w:color w:val="auto"/>
          <w:highlight w:val="none"/>
        </w:rPr>
        <w:instrText xml:space="preserve"> HYPERLINK \l _Toc17424 </w:instrText>
      </w:r>
      <w:r>
        <w:rPr>
          <w:color w:val="auto"/>
          <w:highlight w:val="none"/>
        </w:rPr>
        <w:fldChar w:fldCharType="separate"/>
      </w:r>
      <w:r>
        <w:rPr>
          <w:rFonts w:hint="eastAsia" w:ascii="宋体" w:hAnsi="宋体"/>
          <w:color w:val="auto"/>
          <w:highlight w:val="none"/>
        </w:rPr>
        <w:t>第三部分  合同</w:t>
      </w:r>
      <w:r>
        <w:rPr>
          <w:color w:val="auto"/>
          <w:highlight w:val="none"/>
        </w:rPr>
        <w:tab/>
      </w:r>
      <w:r>
        <w:rPr>
          <w:color w:val="auto"/>
          <w:highlight w:val="none"/>
        </w:rPr>
        <w:fldChar w:fldCharType="begin"/>
      </w:r>
      <w:r>
        <w:rPr>
          <w:color w:val="auto"/>
          <w:highlight w:val="none"/>
        </w:rPr>
        <w:instrText xml:space="preserve"> PAGEREF _Toc17424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209BAB7D">
      <w:pPr>
        <w:pStyle w:val="22"/>
        <w:tabs>
          <w:tab w:val="right" w:leader="dot" w:pos="8820"/>
        </w:tabs>
        <w:rPr>
          <w:color w:val="auto"/>
          <w:highlight w:val="none"/>
        </w:rPr>
      </w:pPr>
      <w:r>
        <w:rPr>
          <w:color w:val="auto"/>
          <w:highlight w:val="none"/>
        </w:rPr>
        <w:fldChar w:fldCharType="begin"/>
      </w:r>
      <w:r>
        <w:rPr>
          <w:color w:val="auto"/>
          <w:highlight w:val="none"/>
        </w:rPr>
        <w:instrText xml:space="preserve"> HYPERLINK \l _Toc18681 </w:instrText>
      </w:r>
      <w:r>
        <w:rPr>
          <w:color w:val="auto"/>
          <w:highlight w:val="none"/>
        </w:rPr>
        <w:fldChar w:fldCharType="separate"/>
      </w:r>
      <w:r>
        <w:rPr>
          <w:rFonts w:ascii="宋体" w:hAnsi="宋体"/>
          <w:color w:val="auto"/>
          <w:highlight w:val="none"/>
        </w:rPr>
        <w:t>第四部分</w:t>
      </w:r>
      <w:r>
        <w:rPr>
          <w:rFonts w:hint="eastAsia" w:ascii="宋体" w:hAnsi="宋体"/>
          <w:color w:val="auto"/>
          <w:highlight w:val="none"/>
        </w:rPr>
        <w:t xml:space="preserve">  采购需求</w:t>
      </w:r>
      <w:r>
        <w:rPr>
          <w:color w:val="auto"/>
          <w:highlight w:val="none"/>
        </w:rPr>
        <w:tab/>
      </w:r>
      <w:r>
        <w:rPr>
          <w:color w:val="auto"/>
          <w:highlight w:val="none"/>
        </w:rPr>
        <w:fldChar w:fldCharType="begin"/>
      </w:r>
      <w:r>
        <w:rPr>
          <w:color w:val="auto"/>
          <w:highlight w:val="none"/>
        </w:rPr>
        <w:instrText xml:space="preserve"> PAGEREF _Toc18681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77FC335E">
      <w:pPr>
        <w:pStyle w:val="22"/>
        <w:tabs>
          <w:tab w:val="right" w:leader="dot" w:pos="8820"/>
        </w:tabs>
        <w:rPr>
          <w:color w:val="auto"/>
          <w:highlight w:val="none"/>
        </w:rPr>
      </w:pPr>
      <w:r>
        <w:rPr>
          <w:color w:val="auto"/>
          <w:highlight w:val="none"/>
        </w:rPr>
        <w:fldChar w:fldCharType="begin"/>
      </w:r>
      <w:r>
        <w:rPr>
          <w:color w:val="auto"/>
          <w:highlight w:val="none"/>
        </w:rPr>
        <w:instrText xml:space="preserve"> HYPERLINK \l _Toc28019 </w:instrText>
      </w:r>
      <w:r>
        <w:rPr>
          <w:color w:val="auto"/>
          <w:highlight w:val="none"/>
        </w:rPr>
        <w:fldChar w:fldCharType="separate"/>
      </w:r>
      <w:r>
        <w:rPr>
          <w:rFonts w:hint="eastAsia" w:ascii="宋体" w:hAnsi="宋体"/>
          <w:color w:val="auto"/>
          <w:highlight w:val="none"/>
        </w:rPr>
        <w:t>第五部分  磋商及评审</w:t>
      </w:r>
      <w:r>
        <w:rPr>
          <w:color w:val="auto"/>
          <w:highlight w:val="none"/>
        </w:rPr>
        <w:tab/>
      </w:r>
      <w:r>
        <w:rPr>
          <w:color w:val="auto"/>
          <w:highlight w:val="none"/>
        </w:rPr>
        <w:fldChar w:fldCharType="begin"/>
      </w:r>
      <w:r>
        <w:rPr>
          <w:color w:val="auto"/>
          <w:highlight w:val="none"/>
        </w:rPr>
        <w:instrText xml:space="preserve"> PAGEREF _Toc28019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14:paraId="20F48F0E">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_Toc27990 </w:instrText>
      </w:r>
      <w:r>
        <w:rPr>
          <w:color w:val="auto"/>
          <w:highlight w:val="none"/>
        </w:rPr>
        <w:fldChar w:fldCharType="separate"/>
      </w:r>
      <w:r>
        <w:rPr>
          <w:rFonts w:hint="eastAsia" w:ascii="宋体" w:hAnsi="宋体" w:eastAsia="宋体"/>
          <w:color w:val="auto"/>
          <w:highlight w:val="none"/>
        </w:rPr>
        <w:t>1．</w:t>
      </w:r>
      <w:r>
        <w:rPr>
          <w:rFonts w:ascii="宋体" w:hAnsi="宋体" w:eastAsia="宋体"/>
          <w:color w:val="auto"/>
          <w:highlight w:val="none"/>
        </w:rPr>
        <w:t>磋商小组职责</w:t>
      </w:r>
      <w:r>
        <w:rPr>
          <w:color w:val="auto"/>
          <w:highlight w:val="none"/>
        </w:rPr>
        <w:tab/>
      </w:r>
      <w:r>
        <w:rPr>
          <w:color w:val="auto"/>
          <w:highlight w:val="none"/>
        </w:rPr>
        <w:fldChar w:fldCharType="begin"/>
      </w:r>
      <w:r>
        <w:rPr>
          <w:color w:val="auto"/>
          <w:highlight w:val="none"/>
        </w:rPr>
        <w:instrText xml:space="preserve"> PAGEREF _Toc27990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14:paraId="73CF695E">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_Toc20715 </w:instrText>
      </w:r>
      <w:r>
        <w:rPr>
          <w:color w:val="auto"/>
          <w:highlight w:val="none"/>
        </w:rPr>
        <w:fldChar w:fldCharType="separate"/>
      </w:r>
      <w:r>
        <w:rPr>
          <w:rFonts w:hint="eastAsia" w:ascii="宋体" w:hAnsi="宋体" w:eastAsia="宋体"/>
          <w:color w:val="auto"/>
          <w:highlight w:val="none"/>
        </w:rPr>
        <w:t>2．磋商及评审程序</w:t>
      </w:r>
      <w:r>
        <w:rPr>
          <w:color w:val="auto"/>
          <w:highlight w:val="none"/>
        </w:rPr>
        <w:tab/>
      </w:r>
      <w:r>
        <w:rPr>
          <w:color w:val="auto"/>
          <w:highlight w:val="none"/>
        </w:rPr>
        <w:fldChar w:fldCharType="begin"/>
      </w:r>
      <w:r>
        <w:rPr>
          <w:color w:val="auto"/>
          <w:highlight w:val="none"/>
        </w:rPr>
        <w:instrText xml:space="preserve"> PAGEREF _Toc20715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14:paraId="1DF8B131">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_Toc17275 </w:instrText>
      </w:r>
      <w:r>
        <w:rPr>
          <w:color w:val="auto"/>
          <w:highlight w:val="none"/>
        </w:rPr>
        <w:fldChar w:fldCharType="separate"/>
      </w:r>
      <w:r>
        <w:rPr>
          <w:rFonts w:hint="eastAsia" w:ascii="宋体" w:hAnsi="宋体" w:eastAsia="宋体"/>
          <w:color w:val="auto"/>
          <w:highlight w:val="none"/>
        </w:rPr>
        <w:t>3．供应商资格审查</w:t>
      </w:r>
      <w:r>
        <w:rPr>
          <w:color w:val="auto"/>
          <w:highlight w:val="none"/>
        </w:rPr>
        <w:tab/>
      </w:r>
      <w:r>
        <w:rPr>
          <w:color w:val="auto"/>
          <w:highlight w:val="none"/>
        </w:rPr>
        <w:fldChar w:fldCharType="begin"/>
      </w:r>
      <w:r>
        <w:rPr>
          <w:color w:val="auto"/>
          <w:highlight w:val="none"/>
        </w:rPr>
        <w:instrText xml:space="preserve"> PAGEREF _Toc17275 \h </w:instrText>
      </w:r>
      <w:r>
        <w:rPr>
          <w:color w:val="auto"/>
          <w:highlight w:val="none"/>
        </w:rPr>
        <w:fldChar w:fldCharType="separate"/>
      </w:r>
      <w:r>
        <w:rPr>
          <w:color w:val="auto"/>
          <w:highlight w:val="none"/>
        </w:rPr>
        <w:t>53</w:t>
      </w:r>
      <w:r>
        <w:rPr>
          <w:color w:val="auto"/>
          <w:highlight w:val="none"/>
        </w:rPr>
        <w:fldChar w:fldCharType="end"/>
      </w:r>
      <w:r>
        <w:rPr>
          <w:color w:val="auto"/>
          <w:highlight w:val="none"/>
        </w:rPr>
        <w:fldChar w:fldCharType="end"/>
      </w:r>
    </w:p>
    <w:p w14:paraId="4C9C09B2">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_Toc2078 </w:instrText>
      </w:r>
      <w:r>
        <w:rPr>
          <w:color w:val="auto"/>
          <w:highlight w:val="none"/>
        </w:rPr>
        <w:fldChar w:fldCharType="separate"/>
      </w:r>
      <w:r>
        <w:rPr>
          <w:rFonts w:hint="eastAsia" w:ascii="宋体" w:hAnsi="宋体" w:eastAsia="宋体"/>
          <w:color w:val="auto"/>
          <w:highlight w:val="none"/>
        </w:rPr>
        <w:t>4．磋商响应文件的有效性、完整性和响应程度审查</w:t>
      </w:r>
      <w:r>
        <w:rPr>
          <w:color w:val="auto"/>
          <w:highlight w:val="none"/>
        </w:rPr>
        <w:tab/>
      </w:r>
      <w:r>
        <w:rPr>
          <w:color w:val="auto"/>
          <w:highlight w:val="none"/>
        </w:rPr>
        <w:fldChar w:fldCharType="begin"/>
      </w:r>
      <w:r>
        <w:rPr>
          <w:color w:val="auto"/>
          <w:highlight w:val="none"/>
        </w:rPr>
        <w:instrText xml:space="preserve"> PAGEREF _Toc2078 \h </w:instrText>
      </w:r>
      <w:r>
        <w:rPr>
          <w:color w:val="auto"/>
          <w:highlight w:val="none"/>
        </w:rPr>
        <w:fldChar w:fldCharType="separate"/>
      </w:r>
      <w:r>
        <w:rPr>
          <w:color w:val="auto"/>
          <w:highlight w:val="none"/>
        </w:rPr>
        <w:t>54</w:t>
      </w:r>
      <w:r>
        <w:rPr>
          <w:color w:val="auto"/>
          <w:highlight w:val="none"/>
        </w:rPr>
        <w:fldChar w:fldCharType="end"/>
      </w:r>
      <w:r>
        <w:rPr>
          <w:color w:val="auto"/>
          <w:highlight w:val="none"/>
        </w:rPr>
        <w:fldChar w:fldCharType="end"/>
      </w:r>
    </w:p>
    <w:p w14:paraId="0CC03596">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_Toc18742 </w:instrText>
      </w:r>
      <w:r>
        <w:rPr>
          <w:color w:val="auto"/>
          <w:highlight w:val="none"/>
        </w:rPr>
        <w:fldChar w:fldCharType="separate"/>
      </w:r>
      <w:r>
        <w:rPr>
          <w:rFonts w:hint="eastAsia" w:ascii="宋体" w:hAnsi="宋体" w:eastAsia="宋体"/>
          <w:color w:val="auto"/>
          <w:highlight w:val="none"/>
        </w:rPr>
        <w:t>5．磋商记录</w:t>
      </w:r>
      <w:r>
        <w:rPr>
          <w:color w:val="auto"/>
          <w:highlight w:val="none"/>
        </w:rPr>
        <w:tab/>
      </w:r>
      <w:r>
        <w:rPr>
          <w:color w:val="auto"/>
          <w:highlight w:val="none"/>
        </w:rPr>
        <w:fldChar w:fldCharType="begin"/>
      </w:r>
      <w:r>
        <w:rPr>
          <w:color w:val="auto"/>
          <w:highlight w:val="none"/>
        </w:rPr>
        <w:instrText xml:space="preserve"> PAGEREF _Toc18742 \h </w:instrText>
      </w:r>
      <w:r>
        <w:rPr>
          <w:color w:val="auto"/>
          <w:highlight w:val="none"/>
        </w:rPr>
        <w:fldChar w:fldCharType="separate"/>
      </w:r>
      <w:r>
        <w:rPr>
          <w:color w:val="auto"/>
          <w:highlight w:val="none"/>
        </w:rPr>
        <w:t>56</w:t>
      </w:r>
      <w:r>
        <w:rPr>
          <w:color w:val="auto"/>
          <w:highlight w:val="none"/>
        </w:rPr>
        <w:fldChar w:fldCharType="end"/>
      </w:r>
      <w:r>
        <w:rPr>
          <w:color w:val="auto"/>
          <w:highlight w:val="none"/>
        </w:rPr>
        <w:fldChar w:fldCharType="end"/>
      </w:r>
    </w:p>
    <w:p w14:paraId="1D37AC5D">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_Toc6745 </w:instrText>
      </w:r>
      <w:r>
        <w:rPr>
          <w:color w:val="auto"/>
          <w:highlight w:val="none"/>
        </w:rPr>
        <w:fldChar w:fldCharType="separate"/>
      </w:r>
      <w:r>
        <w:rPr>
          <w:rFonts w:hint="eastAsia" w:ascii="宋体" w:hAnsi="宋体" w:eastAsia="宋体"/>
          <w:color w:val="auto"/>
          <w:highlight w:val="none"/>
        </w:rPr>
        <w:t>6．综合评分</w:t>
      </w:r>
      <w:r>
        <w:rPr>
          <w:color w:val="auto"/>
          <w:highlight w:val="none"/>
        </w:rPr>
        <w:tab/>
      </w:r>
      <w:r>
        <w:rPr>
          <w:color w:val="auto"/>
          <w:highlight w:val="none"/>
        </w:rPr>
        <w:fldChar w:fldCharType="begin"/>
      </w:r>
      <w:r>
        <w:rPr>
          <w:color w:val="auto"/>
          <w:highlight w:val="none"/>
        </w:rPr>
        <w:instrText xml:space="preserve"> PAGEREF _Toc6745 \h </w:instrText>
      </w:r>
      <w:r>
        <w:rPr>
          <w:color w:val="auto"/>
          <w:highlight w:val="none"/>
        </w:rPr>
        <w:fldChar w:fldCharType="separate"/>
      </w:r>
      <w:r>
        <w:rPr>
          <w:color w:val="auto"/>
          <w:highlight w:val="none"/>
        </w:rPr>
        <w:t>56</w:t>
      </w:r>
      <w:r>
        <w:rPr>
          <w:color w:val="auto"/>
          <w:highlight w:val="none"/>
        </w:rPr>
        <w:fldChar w:fldCharType="end"/>
      </w:r>
      <w:r>
        <w:rPr>
          <w:color w:val="auto"/>
          <w:highlight w:val="none"/>
        </w:rPr>
        <w:fldChar w:fldCharType="end"/>
      </w:r>
    </w:p>
    <w:p w14:paraId="42E47F00">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_Toc25949 </w:instrText>
      </w:r>
      <w:r>
        <w:rPr>
          <w:color w:val="auto"/>
          <w:highlight w:val="none"/>
        </w:rPr>
        <w:fldChar w:fldCharType="separate"/>
      </w:r>
      <w:r>
        <w:rPr>
          <w:rFonts w:hint="eastAsia" w:ascii="宋体" w:hAnsi="宋体" w:eastAsia="宋体"/>
          <w:color w:val="auto"/>
          <w:highlight w:val="none"/>
        </w:rPr>
        <w:t>7．推荐成交供应商</w:t>
      </w:r>
      <w:r>
        <w:rPr>
          <w:color w:val="auto"/>
          <w:highlight w:val="none"/>
        </w:rPr>
        <w:tab/>
      </w:r>
      <w:r>
        <w:rPr>
          <w:color w:val="auto"/>
          <w:highlight w:val="none"/>
        </w:rPr>
        <w:fldChar w:fldCharType="begin"/>
      </w:r>
      <w:r>
        <w:rPr>
          <w:color w:val="auto"/>
          <w:highlight w:val="none"/>
        </w:rPr>
        <w:instrText xml:space="preserve"> PAGEREF _Toc25949 \h </w:instrText>
      </w:r>
      <w:r>
        <w:rPr>
          <w:color w:val="auto"/>
          <w:highlight w:val="none"/>
        </w:rPr>
        <w:fldChar w:fldCharType="separate"/>
      </w:r>
      <w:r>
        <w:rPr>
          <w:color w:val="auto"/>
          <w:highlight w:val="none"/>
        </w:rPr>
        <w:t>58</w:t>
      </w:r>
      <w:r>
        <w:rPr>
          <w:color w:val="auto"/>
          <w:highlight w:val="none"/>
        </w:rPr>
        <w:fldChar w:fldCharType="end"/>
      </w:r>
      <w:r>
        <w:rPr>
          <w:color w:val="auto"/>
          <w:highlight w:val="none"/>
        </w:rPr>
        <w:fldChar w:fldCharType="end"/>
      </w:r>
    </w:p>
    <w:p w14:paraId="61E76B56">
      <w:pPr>
        <w:pStyle w:val="17"/>
        <w:tabs>
          <w:tab w:val="right" w:leader="dot" w:pos="8820"/>
        </w:tabs>
        <w:ind w:left="0" w:firstLine="0"/>
        <w:rPr>
          <w:color w:val="auto"/>
          <w:highlight w:val="none"/>
        </w:rPr>
      </w:pPr>
      <w:r>
        <w:rPr>
          <w:color w:val="auto"/>
          <w:highlight w:val="none"/>
        </w:rPr>
        <w:fldChar w:fldCharType="begin"/>
      </w:r>
      <w:r>
        <w:rPr>
          <w:color w:val="auto"/>
          <w:highlight w:val="none"/>
        </w:rPr>
        <w:instrText xml:space="preserve"> HYPERLINK \l _Toc5621 </w:instrText>
      </w:r>
      <w:r>
        <w:rPr>
          <w:color w:val="auto"/>
          <w:highlight w:val="none"/>
        </w:rPr>
        <w:fldChar w:fldCharType="separate"/>
      </w:r>
      <w:r>
        <w:rPr>
          <w:rFonts w:hint="eastAsia" w:ascii="宋体" w:hAnsi="宋体"/>
          <w:color w:val="auto"/>
          <w:highlight w:val="none"/>
        </w:rPr>
        <w:t>第六部分  磋商响应文件（格式）</w:t>
      </w:r>
      <w:r>
        <w:rPr>
          <w:color w:val="auto"/>
          <w:highlight w:val="none"/>
        </w:rPr>
        <w:tab/>
      </w:r>
      <w:r>
        <w:rPr>
          <w:color w:val="auto"/>
          <w:highlight w:val="none"/>
        </w:rPr>
        <w:fldChar w:fldCharType="begin"/>
      </w:r>
      <w:r>
        <w:rPr>
          <w:color w:val="auto"/>
          <w:highlight w:val="none"/>
        </w:rPr>
        <w:instrText xml:space="preserve"> PAGEREF _Toc5621 \h </w:instrText>
      </w:r>
      <w:r>
        <w:rPr>
          <w:color w:val="auto"/>
          <w:highlight w:val="none"/>
        </w:rPr>
        <w:fldChar w:fldCharType="separate"/>
      </w:r>
      <w:r>
        <w:rPr>
          <w:color w:val="auto"/>
          <w:highlight w:val="none"/>
        </w:rPr>
        <w:t>59</w:t>
      </w:r>
      <w:r>
        <w:rPr>
          <w:color w:val="auto"/>
          <w:highlight w:val="none"/>
        </w:rPr>
        <w:fldChar w:fldCharType="end"/>
      </w:r>
      <w:r>
        <w:rPr>
          <w:color w:val="auto"/>
          <w:highlight w:val="none"/>
        </w:rPr>
        <w:fldChar w:fldCharType="end"/>
      </w:r>
    </w:p>
    <w:p w14:paraId="15B0AE1F">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_Toc10351 </w:instrText>
      </w:r>
      <w:r>
        <w:rPr>
          <w:color w:val="auto"/>
          <w:highlight w:val="none"/>
        </w:rPr>
        <w:fldChar w:fldCharType="separate"/>
      </w:r>
      <w:r>
        <w:rPr>
          <w:rFonts w:ascii="宋体" w:hAnsi="宋体" w:eastAsia="宋体" w:cs="宋体"/>
          <w:bCs/>
          <w:color w:val="auto"/>
          <w:highlight w:val="none"/>
        </w:rPr>
        <w:t>一、资格部分</w:t>
      </w:r>
      <w:r>
        <w:rPr>
          <w:color w:val="auto"/>
          <w:highlight w:val="none"/>
        </w:rPr>
        <w:tab/>
      </w:r>
      <w:r>
        <w:rPr>
          <w:color w:val="auto"/>
          <w:highlight w:val="none"/>
        </w:rPr>
        <w:fldChar w:fldCharType="begin"/>
      </w:r>
      <w:r>
        <w:rPr>
          <w:color w:val="auto"/>
          <w:highlight w:val="none"/>
        </w:rPr>
        <w:instrText xml:space="preserve"> PAGEREF _Toc10351 \h </w:instrText>
      </w:r>
      <w:r>
        <w:rPr>
          <w:color w:val="auto"/>
          <w:highlight w:val="none"/>
        </w:rPr>
        <w:fldChar w:fldCharType="separate"/>
      </w:r>
      <w:r>
        <w:rPr>
          <w:color w:val="auto"/>
          <w:highlight w:val="none"/>
        </w:rPr>
        <w:t>60</w:t>
      </w:r>
      <w:r>
        <w:rPr>
          <w:color w:val="auto"/>
          <w:highlight w:val="none"/>
        </w:rPr>
        <w:fldChar w:fldCharType="end"/>
      </w:r>
      <w:r>
        <w:rPr>
          <w:color w:val="auto"/>
          <w:highlight w:val="none"/>
        </w:rPr>
        <w:fldChar w:fldCharType="end"/>
      </w:r>
    </w:p>
    <w:p w14:paraId="102E8F14">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_Toc14506 </w:instrText>
      </w:r>
      <w:r>
        <w:rPr>
          <w:color w:val="auto"/>
          <w:highlight w:val="none"/>
        </w:rPr>
        <w:fldChar w:fldCharType="separate"/>
      </w:r>
      <w:r>
        <w:rPr>
          <w:rFonts w:ascii="宋体" w:hAnsi="宋体" w:eastAsia="宋体" w:cs="宋体"/>
          <w:color w:val="auto"/>
          <w:highlight w:val="none"/>
        </w:rPr>
        <w:t>(一)磋商承诺函</w:t>
      </w:r>
      <w:r>
        <w:rPr>
          <w:color w:val="auto"/>
          <w:highlight w:val="none"/>
        </w:rPr>
        <w:tab/>
      </w:r>
      <w:r>
        <w:rPr>
          <w:color w:val="auto"/>
          <w:highlight w:val="none"/>
        </w:rPr>
        <w:fldChar w:fldCharType="begin"/>
      </w:r>
      <w:r>
        <w:rPr>
          <w:color w:val="auto"/>
          <w:highlight w:val="none"/>
        </w:rPr>
        <w:instrText xml:space="preserve"> PAGEREF _Toc14506 \h </w:instrText>
      </w:r>
      <w:r>
        <w:rPr>
          <w:color w:val="auto"/>
          <w:highlight w:val="none"/>
        </w:rPr>
        <w:fldChar w:fldCharType="separate"/>
      </w:r>
      <w:r>
        <w:rPr>
          <w:color w:val="auto"/>
          <w:highlight w:val="none"/>
        </w:rPr>
        <w:t>60</w:t>
      </w:r>
      <w:r>
        <w:rPr>
          <w:color w:val="auto"/>
          <w:highlight w:val="none"/>
        </w:rPr>
        <w:fldChar w:fldCharType="end"/>
      </w:r>
      <w:r>
        <w:rPr>
          <w:color w:val="auto"/>
          <w:highlight w:val="none"/>
        </w:rPr>
        <w:fldChar w:fldCharType="end"/>
      </w:r>
    </w:p>
    <w:p w14:paraId="481188B4">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_Toc21424 </w:instrText>
      </w:r>
      <w:r>
        <w:rPr>
          <w:color w:val="auto"/>
          <w:highlight w:val="none"/>
        </w:rPr>
        <w:fldChar w:fldCharType="separate"/>
      </w:r>
      <w:r>
        <w:rPr>
          <w:rFonts w:ascii="宋体" w:hAnsi="宋体" w:eastAsia="宋体" w:cs="宋体"/>
          <w:bCs/>
          <w:color w:val="auto"/>
          <w:szCs w:val="24"/>
          <w:highlight w:val="none"/>
        </w:rPr>
        <w:t>(二)独立承担民事责任的能力</w:t>
      </w:r>
      <w:r>
        <w:rPr>
          <w:color w:val="auto"/>
          <w:highlight w:val="none"/>
        </w:rPr>
        <w:tab/>
      </w:r>
      <w:r>
        <w:rPr>
          <w:color w:val="auto"/>
          <w:highlight w:val="none"/>
        </w:rPr>
        <w:fldChar w:fldCharType="begin"/>
      </w:r>
      <w:r>
        <w:rPr>
          <w:color w:val="auto"/>
          <w:highlight w:val="none"/>
        </w:rPr>
        <w:instrText xml:space="preserve"> PAGEREF _Toc21424 \h </w:instrText>
      </w:r>
      <w:r>
        <w:rPr>
          <w:color w:val="auto"/>
          <w:highlight w:val="none"/>
        </w:rPr>
        <w:fldChar w:fldCharType="separate"/>
      </w:r>
      <w:r>
        <w:rPr>
          <w:color w:val="auto"/>
          <w:highlight w:val="none"/>
        </w:rPr>
        <w:t>62</w:t>
      </w:r>
      <w:r>
        <w:rPr>
          <w:color w:val="auto"/>
          <w:highlight w:val="none"/>
        </w:rPr>
        <w:fldChar w:fldCharType="end"/>
      </w:r>
      <w:r>
        <w:rPr>
          <w:color w:val="auto"/>
          <w:highlight w:val="none"/>
        </w:rPr>
        <w:fldChar w:fldCharType="end"/>
      </w:r>
    </w:p>
    <w:p w14:paraId="6034CB63">
      <w:pPr>
        <w:pStyle w:val="17"/>
        <w:tabs>
          <w:tab w:val="right" w:leader="dot" w:pos="8820"/>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_Toc30575 </w:instrText>
      </w:r>
      <w:r>
        <w:rPr>
          <w:color w:val="auto"/>
          <w:highlight w:val="none"/>
        </w:rPr>
        <w:fldChar w:fldCharType="separate"/>
      </w:r>
      <w:r>
        <w:rPr>
          <w:rFonts w:ascii="宋体" w:hAnsi="宋体" w:eastAsia="宋体" w:cs="宋体"/>
          <w:bCs/>
          <w:color w:val="auto"/>
          <w:szCs w:val="24"/>
          <w:highlight w:val="none"/>
        </w:rPr>
        <w:t>(三)良好的商业信誉和健全的财务会计制度</w:t>
      </w:r>
      <w:r>
        <w:rPr>
          <w:color w:val="auto"/>
          <w:highlight w:val="none"/>
        </w:rPr>
        <w:tab/>
      </w:r>
      <w:r>
        <w:rPr>
          <w:color w:val="auto"/>
          <w:highlight w:val="none"/>
        </w:rPr>
        <w:fldChar w:fldCharType="end"/>
      </w:r>
      <w:r>
        <w:rPr>
          <w:rFonts w:hint="eastAsia"/>
          <w:color w:val="auto"/>
          <w:highlight w:val="none"/>
          <w:lang w:val="en-US" w:eastAsia="zh-CN"/>
        </w:rPr>
        <w:t>63</w:t>
      </w:r>
    </w:p>
    <w:p w14:paraId="2621523C">
      <w:pPr>
        <w:pStyle w:val="17"/>
        <w:tabs>
          <w:tab w:val="right" w:leader="dot" w:pos="8820"/>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_Toc9379 </w:instrText>
      </w:r>
      <w:r>
        <w:rPr>
          <w:color w:val="auto"/>
          <w:highlight w:val="none"/>
        </w:rPr>
        <w:fldChar w:fldCharType="separate"/>
      </w:r>
      <w:r>
        <w:rPr>
          <w:rFonts w:ascii="宋体" w:hAnsi="宋体" w:eastAsia="宋体" w:cs="宋体"/>
          <w:bCs/>
          <w:color w:val="auto"/>
          <w:szCs w:val="24"/>
          <w:highlight w:val="none"/>
        </w:rPr>
        <w:t>(四)履行合同所必需的设备和专业技术能力</w:t>
      </w:r>
      <w:r>
        <w:rPr>
          <w:color w:val="auto"/>
          <w:highlight w:val="none"/>
        </w:rPr>
        <w:tab/>
      </w:r>
      <w:r>
        <w:rPr>
          <w:color w:val="auto"/>
          <w:highlight w:val="none"/>
        </w:rPr>
        <w:fldChar w:fldCharType="end"/>
      </w:r>
      <w:r>
        <w:rPr>
          <w:rFonts w:hint="eastAsia"/>
          <w:color w:val="auto"/>
          <w:highlight w:val="none"/>
          <w:lang w:val="en-US" w:eastAsia="zh-CN"/>
        </w:rPr>
        <w:t>64</w:t>
      </w:r>
    </w:p>
    <w:p w14:paraId="02C2216C">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_Toc17312 </w:instrText>
      </w:r>
      <w:r>
        <w:rPr>
          <w:color w:val="auto"/>
          <w:highlight w:val="none"/>
        </w:rPr>
        <w:fldChar w:fldCharType="separate"/>
      </w:r>
      <w:r>
        <w:rPr>
          <w:rFonts w:ascii="宋体" w:hAnsi="宋体" w:eastAsia="宋体" w:cs="宋体"/>
          <w:bCs/>
          <w:color w:val="auto"/>
          <w:szCs w:val="24"/>
          <w:highlight w:val="none"/>
        </w:rPr>
        <w:t>(五)依法缴纳税收和社会保障资金的良好记录</w:t>
      </w:r>
      <w:r>
        <w:rPr>
          <w:color w:val="auto"/>
          <w:highlight w:val="none"/>
        </w:rPr>
        <w:tab/>
      </w:r>
      <w:r>
        <w:rPr>
          <w:color w:val="auto"/>
          <w:highlight w:val="none"/>
        </w:rPr>
        <w:fldChar w:fldCharType="begin"/>
      </w:r>
      <w:r>
        <w:rPr>
          <w:color w:val="auto"/>
          <w:highlight w:val="none"/>
        </w:rPr>
        <w:instrText xml:space="preserve"> PAGEREF _Toc17312 \h </w:instrText>
      </w:r>
      <w:r>
        <w:rPr>
          <w:color w:val="auto"/>
          <w:highlight w:val="none"/>
        </w:rPr>
        <w:fldChar w:fldCharType="separate"/>
      </w:r>
      <w:r>
        <w:rPr>
          <w:color w:val="auto"/>
          <w:highlight w:val="none"/>
        </w:rPr>
        <w:t>66</w:t>
      </w:r>
      <w:r>
        <w:rPr>
          <w:color w:val="auto"/>
          <w:highlight w:val="none"/>
        </w:rPr>
        <w:fldChar w:fldCharType="end"/>
      </w:r>
      <w:r>
        <w:rPr>
          <w:color w:val="auto"/>
          <w:highlight w:val="none"/>
        </w:rPr>
        <w:fldChar w:fldCharType="end"/>
      </w:r>
    </w:p>
    <w:p w14:paraId="1B32C44D">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_Toc10320 </w:instrText>
      </w:r>
      <w:r>
        <w:rPr>
          <w:color w:val="auto"/>
          <w:highlight w:val="none"/>
        </w:rPr>
        <w:fldChar w:fldCharType="separate"/>
      </w:r>
      <w:r>
        <w:rPr>
          <w:rFonts w:ascii="宋体" w:hAnsi="宋体" w:eastAsia="宋体" w:cs="宋体"/>
          <w:bCs/>
          <w:color w:val="auto"/>
          <w:highlight w:val="none"/>
        </w:rPr>
        <w:t>(六)落实政府采购政策需满足的资格要求</w:t>
      </w:r>
      <w:r>
        <w:rPr>
          <w:color w:val="auto"/>
          <w:highlight w:val="none"/>
        </w:rPr>
        <w:tab/>
      </w:r>
      <w:r>
        <w:rPr>
          <w:color w:val="auto"/>
          <w:highlight w:val="none"/>
        </w:rPr>
        <w:fldChar w:fldCharType="begin"/>
      </w:r>
      <w:r>
        <w:rPr>
          <w:color w:val="auto"/>
          <w:highlight w:val="none"/>
        </w:rPr>
        <w:instrText xml:space="preserve"> PAGEREF _Toc10320 \h </w:instrText>
      </w:r>
      <w:r>
        <w:rPr>
          <w:color w:val="auto"/>
          <w:highlight w:val="none"/>
        </w:rPr>
        <w:fldChar w:fldCharType="separate"/>
      </w:r>
      <w:r>
        <w:rPr>
          <w:color w:val="auto"/>
          <w:highlight w:val="none"/>
        </w:rPr>
        <w:t>6</w:t>
      </w:r>
      <w:r>
        <w:rPr>
          <w:rFonts w:hint="eastAsia"/>
          <w:color w:val="auto"/>
          <w:highlight w:val="none"/>
          <w:lang w:val="en-US" w:eastAsia="zh-CN"/>
        </w:rPr>
        <w:t>7</w:t>
      </w:r>
      <w:r>
        <w:rPr>
          <w:color w:val="auto"/>
          <w:highlight w:val="none"/>
        </w:rPr>
        <w:fldChar w:fldCharType="end"/>
      </w:r>
      <w:r>
        <w:rPr>
          <w:color w:val="auto"/>
          <w:highlight w:val="none"/>
        </w:rPr>
        <w:fldChar w:fldCharType="end"/>
      </w:r>
    </w:p>
    <w:p w14:paraId="3B0CBBC1">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_Toc20707 </w:instrText>
      </w:r>
      <w:r>
        <w:rPr>
          <w:color w:val="auto"/>
          <w:highlight w:val="none"/>
        </w:rPr>
        <w:fldChar w:fldCharType="separate"/>
      </w:r>
      <w:r>
        <w:rPr>
          <w:rFonts w:ascii="宋体" w:hAnsi="宋体" w:eastAsia="宋体" w:cs="宋体"/>
          <w:bCs/>
          <w:color w:val="auto"/>
          <w:highlight w:val="none"/>
        </w:rPr>
        <w:t>(</w:t>
      </w:r>
      <w:r>
        <w:rPr>
          <w:rFonts w:hint="eastAsia" w:ascii="宋体" w:hAnsi="宋体" w:eastAsia="宋体" w:cs="宋体"/>
          <w:bCs/>
          <w:color w:val="auto"/>
          <w:highlight w:val="none"/>
          <w:lang w:eastAsia="zh-CN"/>
        </w:rPr>
        <w:t>七</w:t>
      </w:r>
      <w:r>
        <w:rPr>
          <w:rFonts w:ascii="宋体" w:hAnsi="宋体" w:eastAsia="宋体" w:cs="宋体"/>
          <w:bCs/>
          <w:color w:val="auto"/>
          <w:highlight w:val="none"/>
        </w:rPr>
        <w:t>)本项目的特定资格要求</w:t>
      </w:r>
      <w:r>
        <w:rPr>
          <w:color w:val="auto"/>
          <w:highlight w:val="none"/>
        </w:rPr>
        <w:tab/>
      </w:r>
      <w:r>
        <w:rPr>
          <w:color w:val="auto"/>
          <w:highlight w:val="none"/>
        </w:rPr>
        <w:fldChar w:fldCharType="begin"/>
      </w:r>
      <w:r>
        <w:rPr>
          <w:color w:val="auto"/>
          <w:highlight w:val="none"/>
        </w:rPr>
        <w:instrText xml:space="preserve"> PAGEREF _Toc20707 \h </w:instrText>
      </w:r>
      <w:r>
        <w:rPr>
          <w:color w:val="auto"/>
          <w:highlight w:val="none"/>
        </w:rPr>
        <w:fldChar w:fldCharType="separate"/>
      </w:r>
      <w:r>
        <w:rPr>
          <w:color w:val="auto"/>
          <w:highlight w:val="none"/>
        </w:rPr>
        <w:t>69</w:t>
      </w:r>
      <w:r>
        <w:rPr>
          <w:color w:val="auto"/>
          <w:highlight w:val="none"/>
        </w:rPr>
        <w:fldChar w:fldCharType="end"/>
      </w:r>
      <w:r>
        <w:rPr>
          <w:color w:val="auto"/>
          <w:highlight w:val="none"/>
        </w:rPr>
        <w:fldChar w:fldCharType="end"/>
      </w:r>
    </w:p>
    <w:p w14:paraId="34863450">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_Toc4837 </w:instrText>
      </w:r>
      <w:r>
        <w:rPr>
          <w:color w:val="auto"/>
          <w:highlight w:val="none"/>
        </w:rPr>
        <w:fldChar w:fldCharType="separate"/>
      </w:r>
      <w:r>
        <w:rPr>
          <w:rFonts w:ascii="宋体" w:hAnsi="宋体" w:eastAsia="宋体" w:cs="宋体"/>
          <w:bCs/>
          <w:color w:val="auto"/>
          <w:highlight w:val="none"/>
        </w:rPr>
        <w:t>(</w:t>
      </w:r>
      <w:r>
        <w:rPr>
          <w:rFonts w:hint="eastAsia" w:ascii="宋体" w:hAnsi="宋体" w:eastAsia="宋体" w:cs="宋体"/>
          <w:bCs/>
          <w:color w:val="auto"/>
          <w:highlight w:val="none"/>
          <w:lang w:eastAsia="zh-CN"/>
        </w:rPr>
        <w:t>八</w:t>
      </w:r>
      <w:r>
        <w:rPr>
          <w:rFonts w:ascii="宋体" w:hAnsi="宋体" w:eastAsia="宋体" w:cs="宋体"/>
          <w:bCs/>
          <w:color w:val="auto"/>
          <w:highlight w:val="none"/>
        </w:rPr>
        <w:t>)法定代表人（负责人）身份证明书</w:t>
      </w:r>
      <w:r>
        <w:rPr>
          <w:color w:val="auto"/>
          <w:highlight w:val="none"/>
        </w:rPr>
        <w:tab/>
      </w:r>
      <w:r>
        <w:rPr>
          <w:color w:val="auto"/>
          <w:highlight w:val="none"/>
        </w:rPr>
        <w:fldChar w:fldCharType="begin"/>
      </w:r>
      <w:r>
        <w:rPr>
          <w:color w:val="auto"/>
          <w:highlight w:val="none"/>
        </w:rPr>
        <w:instrText xml:space="preserve"> PAGEREF _Toc4837 \h </w:instrText>
      </w:r>
      <w:r>
        <w:rPr>
          <w:color w:val="auto"/>
          <w:highlight w:val="none"/>
        </w:rPr>
        <w:fldChar w:fldCharType="separate"/>
      </w:r>
      <w:r>
        <w:rPr>
          <w:color w:val="auto"/>
          <w:highlight w:val="none"/>
        </w:rPr>
        <w:t>70</w:t>
      </w:r>
      <w:r>
        <w:rPr>
          <w:color w:val="auto"/>
          <w:highlight w:val="none"/>
        </w:rPr>
        <w:fldChar w:fldCharType="end"/>
      </w:r>
      <w:r>
        <w:rPr>
          <w:color w:val="auto"/>
          <w:highlight w:val="none"/>
        </w:rPr>
        <w:fldChar w:fldCharType="end"/>
      </w:r>
    </w:p>
    <w:p w14:paraId="1232FDAC">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_Toc9734 </w:instrText>
      </w:r>
      <w:r>
        <w:rPr>
          <w:color w:val="auto"/>
          <w:highlight w:val="none"/>
        </w:rPr>
        <w:fldChar w:fldCharType="separate"/>
      </w:r>
      <w:r>
        <w:rPr>
          <w:rFonts w:ascii="宋体" w:hAnsi="宋体" w:eastAsia="宋体" w:cs="宋体"/>
          <w:bCs/>
          <w:color w:val="auto"/>
          <w:highlight w:val="none"/>
        </w:rPr>
        <w:t>(九)法定代表人（负责人）授权委托书</w:t>
      </w:r>
      <w:r>
        <w:rPr>
          <w:color w:val="auto"/>
          <w:highlight w:val="none"/>
        </w:rPr>
        <w:tab/>
      </w:r>
      <w:r>
        <w:rPr>
          <w:color w:val="auto"/>
          <w:highlight w:val="none"/>
        </w:rPr>
        <w:fldChar w:fldCharType="begin"/>
      </w:r>
      <w:r>
        <w:rPr>
          <w:color w:val="auto"/>
          <w:highlight w:val="none"/>
        </w:rPr>
        <w:instrText xml:space="preserve"> PAGEREF _Toc9734 \h </w:instrText>
      </w:r>
      <w:r>
        <w:rPr>
          <w:color w:val="auto"/>
          <w:highlight w:val="none"/>
        </w:rPr>
        <w:fldChar w:fldCharType="separate"/>
      </w:r>
      <w:r>
        <w:rPr>
          <w:color w:val="auto"/>
          <w:highlight w:val="none"/>
        </w:rPr>
        <w:t>71</w:t>
      </w:r>
      <w:r>
        <w:rPr>
          <w:color w:val="auto"/>
          <w:highlight w:val="none"/>
        </w:rPr>
        <w:fldChar w:fldCharType="end"/>
      </w:r>
      <w:r>
        <w:rPr>
          <w:color w:val="auto"/>
          <w:highlight w:val="none"/>
        </w:rPr>
        <w:fldChar w:fldCharType="end"/>
      </w:r>
    </w:p>
    <w:p w14:paraId="2C53285D">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_Toc17338 </w:instrText>
      </w:r>
      <w:r>
        <w:rPr>
          <w:color w:val="auto"/>
          <w:highlight w:val="none"/>
        </w:rPr>
        <w:fldChar w:fldCharType="separate"/>
      </w:r>
      <w:r>
        <w:rPr>
          <w:rFonts w:ascii="宋体" w:hAnsi="宋体" w:eastAsia="宋体" w:cs="宋体"/>
          <w:bCs/>
          <w:color w:val="auto"/>
          <w:highlight w:val="none"/>
        </w:rPr>
        <w:t>(十)资格承诺函</w:t>
      </w:r>
      <w:r>
        <w:rPr>
          <w:color w:val="auto"/>
          <w:highlight w:val="none"/>
        </w:rPr>
        <w:tab/>
      </w:r>
      <w:r>
        <w:rPr>
          <w:color w:val="auto"/>
          <w:highlight w:val="none"/>
        </w:rPr>
        <w:fldChar w:fldCharType="begin"/>
      </w:r>
      <w:r>
        <w:rPr>
          <w:color w:val="auto"/>
          <w:highlight w:val="none"/>
        </w:rPr>
        <w:instrText xml:space="preserve"> PAGEREF _Toc17338 \h </w:instrText>
      </w:r>
      <w:r>
        <w:rPr>
          <w:color w:val="auto"/>
          <w:highlight w:val="none"/>
        </w:rPr>
        <w:fldChar w:fldCharType="separate"/>
      </w:r>
      <w:r>
        <w:rPr>
          <w:color w:val="auto"/>
          <w:highlight w:val="none"/>
        </w:rPr>
        <w:t>72</w:t>
      </w:r>
      <w:r>
        <w:rPr>
          <w:color w:val="auto"/>
          <w:highlight w:val="none"/>
        </w:rPr>
        <w:fldChar w:fldCharType="end"/>
      </w:r>
      <w:r>
        <w:rPr>
          <w:color w:val="auto"/>
          <w:highlight w:val="none"/>
        </w:rPr>
        <w:fldChar w:fldCharType="end"/>
      </w:r>
    </w:p>
    <w:p w14:paraId="333A5AEF">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_Toc1029 </w:instrText>
      </w:r>
      <w:r>
        <w:rPr>
          <w:color w:val="auto"/>
          <w:highlight w:val="none"/>
        </w:rPr>
        <w:fldChar w:fldCharType="separate"/>
      </w:r>
      <w:r>
        <w:rPr>
          <w:rFonts w:ascii="宋体" w:hAnsi="宋体" w:eastAsia="宋体" w:cs="宋体"/>
          <w:bCs/>
          <w:color w:val="auto"/>
          <w:highlight w:val="none"/>
        </w:rPr>
        <w:t>二、技术部分</w:t>
      </w:r>
      <w:r>
        <w:rPr>
          <w:color w:val="auto"/>
          <w:highlight w:val="none"/>
        </w:rPr>
        <w:tab/>
      </w:r>
      <w:r>
        <w:rPr>
          <w:color w:val="auto"/>
          <w:highlight w:val="none"/>
        </w:rPr>
        <w:fldChar w:fldCharType="begin"/>
      </w:r>
      <w:r>
        <w:rPr>
          <w:color w:val="auto"/>
          <w:highlight w:val="none"/>
        </w:rPr>
        <w:instrText xml:space="preserve"> PAGEREF _Toc1029 \h </w:instrText>
      </w:r>
      <w:r>
        <w:rPr>
          <w:color w:val="auto"/>
          <w:highlight w:val="none"/>
        </w:rPr>
        <w:fldChar w:fldCharType="separate"/>
      </w:r>
      <w:r>
        <w:rPr>
          <w:color w:val="auto"/>
          <w:highlight w:val="none"/>
        </w:rPr>
        <w:t>73</w:t>
      </w:r>
      <w:r>
        <w:rPr>
          <w:color w:val="auto"/>
          <w:highlight w:val="none"/>
        </w:rPr>
        <w:fldChar w:fldCharType="end"/>
      </w:r>
      <w:r>
        <w:rPr>
          <w:color w:val="auto"/>
          <w:highlight w:val="none"/>
        </w:rPr>
        <w:fldChar w:fldCharType="end"/>
      </w:r>
    </w:p>
    <w:p w14:paraId="11418542">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_Toc23259 </w:instrText>
      </w:r>
      <w:r>
        <w:rPr>
          <w:color w:val="auto"/>
          <w:highlight w:val="none"/>
        </w:rPr>
        <w:fldChar w:fldCharType="separate"/>
      </w:r>
      <w:r>
        <w:rPr>
          <w:rFonts w:ascii="宋体" w:hAnsi="宋体" w:eastAsia="宋体" w:cs="宋体"/>
          <w:color w:val="auto"/>
          <w:highlight w:val="none"/>
        </w:rPr>
        <w:t>(一)</w:t>
      </w:r>
      <w:r>
        <w:rPr>
          <w:rFonts w:hint="eastAsia" w:ascii="宋体" w:hAnsi="宋体" w:eastAsia="宋体" w:cs="宋体"/>
          <w:color w:val="auto"/>
          <w:highlight w:val="none"/>
          <w:lang w:eastAsia="zh-CN"/>
        </w:rPr>
        <w:t>施工</w:t>
      </w:r>
      <w:r>
        <w:rPr>
          <w:rFonts w:ascii="宋体" w:hAnsi="宋体" w:eastAsia="宋体" w:cs="宋体"/>
          <w:color w:val="auto"/>
          <w:highlight w:val="none"/>
        </w:rPr>
        <w:t>方案</w:t>
      </w:r>
      <w:r>
        <w:rPr>
          <w:color w:val="auto"/>
          <w:highlight w:val="none"/>
        </w:rPr>
        <w:tab/>
      </w:r>
      <w:r>
        <w:rPr>
          <w:color w:val="auto"/>
          <w:highlight w:val="none"/>
        </w:rPr>
        <w:fldChar w:fldCharType="begin"/>
      </w:r>
      <w:r>
        <w:rPr>
          <w:color w:val="auto"/>
          <w:highlight w:val="none"/>
        </w:rPr>
        <w:instrText xml:space="preserve"> PAGEREF _Toc23259 \h </w:instrText>
      </w:r>
      <w:r>
        <w:rPr>
          <w:color w:val="auto"/>
          <w:highlight w:val="none"/>
        </w:rPr>
        <w:fldChar w:fldCharType="separate"/>
      </w:r>
      <w:r>
        <w:rPr>
          <w:color w:val="auto"/>
          <w:highlight w:val="none"/>
        </w:rPr>
        <w:t>73</w:t>
      </w:r>
      <w:r>
        <w:rPr>
          <w:color w:val="auto"/>
          <w:highlight w:val="none"/>
        </w:rPr>
        <w:fldChar w:fldCharType="end"/>
      </w:r>
      <w:r>
        <w:rPr>
          <w:color w:val="auto"/>
          <w:highlight w:val="none"/>
        </w:rPr>
        <w:fldChar w:fldCharType="end"/>
      </w:r>
    </w:p>
    <w:p w14:paraId="17C3796A">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_Toc9059 </w:instrText>
      </w:r>
      <w:r>
        <w:rPr>
          <w:color w:val="auto"/>
          <w:highlight w:val="none"/>
        </w:rPr>
        <w:fldChar w:fldCharType="separate"/>
      </w:r>
      <w:r>
        <w:rPr>
          <w:rFonts w:ascii="宋体" w:hAnsi="宋体" w:eastAsia="宋体" w:cs="宋体"/>
          <w:color w:val="auto"/>
          <w:highlight w:val="none"/>
        </w:rPr>
        <w:t>(</w:t>
      </w:r>
      <w:r>
        <w:rPr>
          <w:rFonts w:hint="eastAsia" w:ascii="宋体" w:hAnsi="宋体" w:eastAsia="宋体" w:cs="宋体"/>
          <w:color w:val="auto"/>
          <w:highlight w:val="none"/>
          <w:lang w:eastAsia="zh-CN"/>
        </w:rPr>
        <w:t>二</w:t>
      </w:r>
      <w:r>
        <w:rPr>
          <w:rFonts w:ascii="宋体" w:hAnsi="宋体" w:eastAsia="宋体" w:cs="宋体"/>
          <w:color w:val="auto"/>
          <w:highlight w:val="none"/>
        </w:rPr>
        <w:t>)</w:t>
      </w:r>
      <w:r>
        <w:rPr>
          <w:rFonts w:hint="eastAsia" w:ascii="宋体" w:hAnsi="宋体" w:eastAsia="宋体" w:cs="宋体"/>
          <w:color w:val="auto"/>
          <w:highlight w:val="none"/>
          <w:lang w:eastAsia="zh-CN"/>
        </w:rPr>
        <w:t>技术（服务）及商务</w:t>
      </w:r>
      <w:r>
        <w:rPr>
          <w:rFonts w:ascii="宋体" w:hAnsi="宋体" w:eastAsia="宋体" w:cs="宋体"/>
          <w:color w:val="auto"/>
          <w:highlight w:val="none"/>
        </w:rPr>
        <w:t>内容</w:t>
      </w:r>
      <w:r>
        <w:rPr>
          <w:rFonts w:hint="eastAsia" w:ascii="宋体" w:hAnsi="宋体" w:eastAsia="宋体" w:cs="宋体"/>
          <w:color w:val="auto"/>
          <w:highlight w:val="none"/>
          <w:lang w:eastAsia="zh-CN"/>
        </w:rPr>
        <w:t>响应承诺</w:t>
      </w:r>
      <w:r>
        <w:rPr>
          <w:color w:val="auto"/>
          <w:highlight w:val="none"/>
        </w:rPr>
        <w:tab/>
      </w:r>
      <w:r>
        <w:rPr>
          <w:color w:val="auto"/>
          <w:highlight w:val="none"/>
        </w:rPr>
        <w:fldChar w:fldCharType="begin"/>
      </w:r>
      <w:r>
        <w:rPr>
          <w:color w:val="auto"/>
          <w:highlight w:val="none"/>
        </w:rPr>
        <w:instrText xml:space="preserve"> PAGEREF _Toc9059 \h </w:instrText>
      </w:r>
      <w:r>
        <w:rPr>
          <w:color w:val="auto"/>
          <w:highlight w:val="none"/>
        </w:rPr>
        <w:fldChar w:fldCharType="separate"/>
      </w:r>
      <w:r>
        <w:rPr>
          <w:color w:val="auto"/>
          <w:highlight w:val="none"/>
        </w:rPr>
        <w:t>74</w:t>
      </w:r>
      <w:r>
        <w:rPr>
          <w:color w:val="auto"/>
          <w:highlight w:val="none"/>
        </w:rPr>
        <w:fldChar w:fldCharType="end"/>
      </w:r>
      <w:r>
        <w:rPr>
          <w:color w:val="auto"/>
          <w:highlight w:val="none"/>
        </w:rPr>
        <w:fldChar w:fldCharType="end"/>
      </w:r>
    </w:p>
    <w:p w14:paraId="2AE8EDC3">
      <w:pPr>
        <w:pStyle w:val="28"/>
        <w:tabs>
          <w:tab w:val="right" w:leader="dot" w:pos="8820"/>
        </w:tabs>
        <w:rPr>
          <w:color w:val="auto"/>
          <w:highlight w:val="none"/>
        </w:rPr>
      </w:pPr>
      <w:r>
        <w:rPr>
          <w:color w:val="auto"/>
          <w:highlight w:val="none"/>
        </w:rPr>
        <w:fldChar w:fldCharType="begin"/>
      </w:r>
      <w:r>
        <w:rPr>
          <w:color w:val="auto"/>
          <w:highlight w:val="none"/>
        </w:rPr>
        <w:instrText xml:space="preserve"> HYPERLINK \l _Toc32425 </w:instrText>
      </w:r>
      <w:r>
        <w:rPr>
          <w:color w:val="auto"/>
          <w:highlight w:val="none"/>
        </w:rPr>
        <w:fldChar w:fldCharType="separate"/>
      </w:r>
      <w:r>
        <w:rPr>
          <w:rFonts w:ascii="宋体" w:hAnsi="宋体" w:eastAsia="宋体" w:cs="宋体"/>
          <w:bCs/>
          <w:color w:val="auto"/>
          <w:highlight w:val="none"/>
        </w:rPr>
        <w:t>三、商务部分</w:t>
      </w:r>
      <w:r>
        <w:rPr>
          <w:color w:val="auto"/>
          <w:highlight w:val="none"/>
        </w:rPr>
        <w:tab/>
      </w:r>
      <w:r>
        <w:rPr>
          <w:color w:val="auto"/>
          <w:highlight w:val="none"/>
        </w:rPr>
        <w:fldChar w:fldCharType="begin"/>
      </w:r>
      <w:r>
        <w:rPr>
          <w:color w:val="auto"/>
          <w:highlight w:val="none"/>
        </w:rPr>
        <w:instrText xml:space="preserve"> PAGEREF _Toc32425 \h </w:instrText>
      </w:r>
      <w:r>
        <w:rPr>
          <w:color w:val="auto"/>
          <w:highlight w:val="none"/>
        </w:rPr>
        <w:fldChar w:fldCharType="separate"/>
      </w:r>
      <w:r>
        <w:rPr>
          <w:color w:val="auto"/>
          <w:highlight w:val="none"/>
        </w:rPr>
        <w:t>75</w:t>
      </w:r>
      <w:r>
        <w:rPr>
          <w:color w:val="auto"/>
          <w:highlight w:val="none"/>
        </w:rPr>
        <w:fldChar w:fldCharType="end"/>
      </w:r>
      <w:r>
        <w:rPr>
          <w:color w:val="auto"/>
          <w:highlight w:val="none"/>
        </w:rPr>
        <w:fldChar w:fldCharType="end"/>
      </w:r>
    </w:p>
    <w:p w14:paraId="5594A93B">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_Toc12742 </w:instrText>
      </w:r>
      <w:r>
        <w:rPr>
          <w:color w:val="auto"/>
          <w:highlight w:val="none"/>
        </w:rPr>
        <w:fldChar w:fldCharType="separate"/>
      </w:r>
      <w:r>
        <w:rPr>
          <w:rFonts w:ascii="宋体" w:hAnsi="宋体" w:eastAsia="宋体" w:cs="宋体"/>
          <w:color w:val="auto"/>
          <w:highlight w:val="none"/>
        </w:rPr>
        <w:t>(一)供应商能力</w:t>
      </w:r>
      <w:r>
        <w:rPr>
          <w:color w:val="auto"/>
          <w:highlight w:val="none"/>
        </w:rPr>
        <w:tab/>
      </w:r>
      <w:r>
        <w:rPr>
          <w:color w:val="auto"/>
          <w:highlight w:val="none"/>
        </w:rPr>
        <w:fldChar w:fldCharType="begin"/>
      </w:r>
      <w:r>
        <w:rPr>
          <w:color w:val="auto"/>
          <w:highlight w:val="none"/>
        </w:rPr>
        <w:instrText xml:space="preserve"> PAGEREF _Toc12742 \h </w:instrText>
      </w:r>
      <w:r>
        <w:rPr>
          <w:color w:val="auto"/>
          <w:highlight w:val="none"/>
        </w:rPr>
        <w:fldChar w:fldCharType="separate"/>
      </w:r>
      <w:r>
        <w:rPr>
          <w:color w:val="auto"/>
          <w:highlight w:val="none"/>
        </w:rPr>
        <w:t>75</w:t>
      </w:r>
      <w:r>
        <w:rPr>
          <w:color w:val="auto"/>
          <w:highlight w:val="none"/>
        </w:rPr>
        <w:fldChar w:fldCharType="end"/>
      </w:r>
      <w:r>
        <w:rPr>
          <w:color w:val="auto"/>
          <w:highlight w:val="none"/>
        </w:rPr>
        <w:fldChar w:fldCharType="end"/>
      </w:r>
    </w:p>
    <w:p w14:paraId="28A92027">
      <w:pPr>
        <w:pStyle w:val="17"/>
        <w:tabs>
          <w:tab w:val="right" w:leader="dot" w:pos="8820"/>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_Toc1377 </w:instrText>
      </w:r>
      <w:r>
        <w:rPr>
          <w:color w:val="auto"/>
          <w:highlight w:val="none"/>
        </w:rPr>
        <w:fldChar w:fldCharType="separate"/>
      </w:r>
      <w:r>
        <w:rPr>
          <w:rFonts w:ascii="宋体" w:hAnsi="宋体" w:eastAsia="宋体" w:cs="宋体"/>
          <w:bCs/>
          <w:color w:val="auto"/>
          <w:szCs w:val="24"/>
          <w:highlight w:val="none"/>
        </w:rPr>
        <w:t>(二)</w:t>
      </w:r>
      <w:r>
        <w:rPr>
          <w:rFonts w:hint="eastAsia" w:ascii="宋体" w:hAnsi="宋体" w:eastAsia="宋体" w:cs="宋体"/>
          <w:bCs/>
          <w:color w:val="auto"/>
          <w:szCs w:val="24"/>
          <w:highlight w:val="none"/>
          <w:lang w:eastAsia="zh-CN"/>
        </w:rPr>
        <w:t>类似业绩</w:t>
      </w:r>
      <w:r>
        <w:rPr>
          <w:color w:val="auto"/>
          <w:highlight w:val="none"/>
        </w:rPr>
        <w:tab/>
      </w:r>
      <w:r>
        <w:rPr>
          <w:color w:val="auto"/>
          <w:highlight w:val="none"/>
        </w:rPr>
        <w:fldChar w:fldCharType="end"/>
      </w:r>
      <w:r>
        <w:rPr>
          <w:rFonts w:hint="eastAsia"/>
          <w:color w:val="auto"/>
          <w:highlight w:val="none"/>
          <w:lang w:val="en-US" w:eastAsia="zh-CN"/>
        </w:rPr>
        <w:t>76</w:t>
      </w:r>
    </w:p>
    <w:p w14:paraId="23D6A8E6">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_Toc23081 </w:instrText>
      </w:r>
      <w:r>
        <w:rPr>
          <w:color w:val="auto"/>
          <w:highlight w:val="none"/>
        </w:rPr>
        <w:fldChar w:fldCharType="separate"/>
      </w:r>
      <w:r>
        <w:rPr>
          <w:rFonts w:ascii="宋体" w:hAnsi="宋体" w:eastAsia="宋体" w:cs="宋体"/>
          <w:bCs/>
          <w:color w:val="auto"/>
          <w:highlight w:val="none"/>
        </w:rPr>
        <w:t>(三)项目实施成员能力</w:t>
      </w:r>
      <w:r>
        <w:rPr>
          <w:color w:val="auto"/>
          <w:highlight w:val="none"/>
        </w:rPr>
        <w:tab/>
      </w:r>
      <w:r>
        <w:rPr>
          <w:color w:val="auto"/>
          <w:highlight w:val="none"/>
        </w:rPr>
        <w:fldChar w:fldCharType="begin"/>
      </w:r>
      <w:r>
        <w:rPr>
          <w:color w:val="auto"/>
          <w:highlight w:val="none"/>
        </w:rPr>
        <w:instrText xml:space="preserve"> PAGEREF _Toc23081 \h </w:instrText>
      </w:r>
      <w:r>
        <w:rPr>
          <w:color w:val="auto"/>
          <w:highlight w:val="none"/>
        </w:rPr>
        <w:fldChar w:fldCharType="separate"/>
      </w:r>
      <w:r>
        <w:rPr>
          <w:color w:val="auto"/>
          <w:highlight w:val="none"/>
        </w:rPr>
        <w:t>77</w:t>
      </w:r>
      <w:r>
        <w:rPr>
          <w:color w:val="auto"/>
          <w:highlight w:val="none"/>
        </w:rPr>
        <w:fldChar w:fldCharType="end"/>
      </w:r>
      <w:r>
        <w:rPr>
          <w:color w:val="auto"/>
          <w:highlight w:val="none"/>
        </w:rPr>
        <w:fldChar w:fldCharType="end"/>
      </w:r>
    </w:p>
    <w:p w14:paraId="6A44D442">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_Toc23356 </w:instrText>
      </w:r>
      <w:r>
        <w:rPr>
          <w:color w:val="auto"/>
          <w:highlight w:val="none"/>
        </w:rPr>
        <w:fldChar w:fldCharType="separate"/>
      </w:r>
      <w:r>
        <w:rPr>
          <w:rFonts w:ascii="宋体" w:hAnsi="宋体" w:eastAsia="宋体" w:cs="宋体"/>
          <w:bCs/>
          <w:color w:val="auto"/>
          <w:highlight w:val="none"/>
        </w:rPr>
        <w:t>(</w:t>
      </w:r>
      <w:r>
        <w:rPr>
          <w:rFonts w:hint="eastAsia" w:ascii="宋体" w:hAnsi="宋体" w:eastAsia="宋体" w:cs="宋体"/>
          <w:bCs/>
          <w:color w:val="auto"/>
          <w:highlight w:val="none"/>
          <w:lang w:eastAsia="zh-CN"/>
        </w:rPr>
        <w:t>四</w:t>
      </w:r>
      <w:r>
        <w:rPr>
          <w:rFonts w:ascii="宋体" w:hAnsi="宋体" w:eastAsia="宋体" w:cs="宋体"/>
          <w:bCs/>
          <w:color w:val="auto"/>
          <w:highlight w:val="none"/>
        </w:rPr>
        <w:t>)首次报价一览表</w:t>
      </w:r>
      <w:r>
        <w:rPr>
          <w:color w:val="auto"/>
          <w:highlight w:val="none"/>
        </w:rPr>
        <w:tab/>
      </w:r>
      <w:r>
        <w:rPr>
          <w:color w:val="auto"/>
          <w:highlight w:val="none"/>
        </w:rPr>
        <w:fldChar w:fldCharType="begin"/>
      </w:r>
      <w:r>
        <w:rPr>
          <w:color w:val="auto"/>
          <w:highlight w:val="none"/>
        </w:rPr>
        <w:instrText xml:space="preserve"> PAGEREF _Toc23356 \h </w:instrText>
      </w:r>
      <w:r>
        <w:rPr>
          <w:color w:val="auto"/>
          <w:highlight w:val="none"/>
        </w:rPr>
        <w:fldChar w:fldCharType="separate"/>
      </w:r>
      <w:r>
        <w:rPr>
          <w:color w:val="auto"/>
          <w:highlight w:val="none"/>
        </w:rPr>
        <w:t>78</w:t>
      </w:r>
      <w:r>
        <w:rPr>
          <w:color w:val="auto"/>
          <w:highlight w:val="none"/>
        </w:rPr>
        <w:fldChar w:fldCharType="end"/>
      </w:r>
      <w:r>
        <w:rPr>
          <w:color w:val="auto"/>
          <w:highlight w:val="none"/>
        </w:rPr>
        <w:fldChar w:fldCharType="end"/>
      </w:r>
    </w:p>
    <w:p w14:paraId="765FD773">
      <w:pPr>
        <w:pStyle w:val="17"/>
        <w:tabs>
          <w:tab w:val="right" w:leader="dot" w:pos="8820"/>
        </w:tabs>
        <w:rPr>
          <w:color w:val="auto"/>
          <w:highlight w:val="none"/>
        </w:rPr>
      </w:pPr>
      <w:r>
        <w:rPr>
          <w:color w:val="auto"/>
          <w:highlight w:val="none"/>
        </w:rPr>
        <w:fldChar w:fldCharType="begin"/>
      </w:r>
      <w:r>
        <w:rPr>
          <w:color w:val="auto"/>
          <w:highlight w:val="none"/>
        </w:rPr>
        <w:instrText xml:space="preserve"> HYPERLINK \l _Toc2123 </w:instrText>
      </w:r>
      <w:r>
        <w:rPr>
          <w:color w:val="auto"/>
          <w:highlight w:val="none"/>
        </w:rPr>
        <w:fldChar w:fldCharType="separate"/>
      </w:r>
      <w:r>
        <w:rPr>
          <w:rFonts w:ascii="宋体" w:hAnsi="宋体" w:eastAsia="宋体" w:cs="宋体"/>
          <w:bCs/>
          <w:color w:val="auto"/>
          <w:highlight w:val="none"/>
        </w:rPr>
        <w:t>(</w:t>
      </w:r>
      <w:r>
        <w:rPr>
          <w:rFonts w:hint="eastAsia" w:ascii="宋体" w:hAnsi="宋体" w:eastAsia="宋体" w:cs="宋体"/>
          <w:bCs/>
          <w:color w:val="auto"/>
          <w:highlight w:val="none"/>
          <w:lang w:eastAsia="zh-CN"/>
        </w:rPr>
        <w:t>五</w:t>
      </w:r>
      <w:r>
        <w:rPr>
          <w:rFonts w:ascii="宋体" w:hAnsi="宋体" w:eastAsia="宋体" w:cs="宋体"/>
          <w:bCs/>
          <w:color w:val="auto"/>
          <w:highlight w:val="none"/>
        </w:rPr>
        <w:t>)已标价工程量清单</w:t>
      </w:r>
      <w:r>
        <w:rPr>
          <w:color w:val="auto"/>
          <w:highlight w:val="none"/>
        </w:rPr>
        <w:tab/>
      </w:r>
      <w:r>
        <w:rPr>
          <w:color w:val="auto"/>
          <w:highlight w:val="none"/>
        </w:rPr>
        <w:fldChar w:fldCharType="begin"/>
      </w:r>
      <w:r>
        <w:rPr>
          <w:color w:val="auto"/>
          <w:highlight w:val="none"/>
        </w:rPr>
        <w:instrText xml:space="preserve"> PAGEREF _Toc2123 \h </w:instrText>
      </w:r>
      <w:r>
        <w:rPr>
          <w:color w:val="auto"/>
          <w:highlight w:val="none"/>
        </w:rPr>
        <w:fldChar w:fldCharType="separate"/>
      </w:r>
      <w:r>
        <w:rPr>
          <w:color w:val="auto"/>
          <w:highlight w:val="none"/>
        </w:rPr>
        <w:t>79</w:t>
      </w:r>
      <w:r>
        <w:rPr>
          <w:color w:val="auto"/>
          <w:highlight w:val="none"/>
        </w:rPr>
        <w:fldChar w:fldCharType="end"/>
      </w:r>
      <w:r>
        <w:rPr>
          <w:color w:val="auto"/>
          <w:highlight w:val="none"/>
        </w:rPr>
        <w:fldChar w:fldCharType="end"/>
      </w:r>
    </w:p>
    <w:p w14:paraId="7A78088E">
      <w:pPr>
        <w:pStyle w:val="28"/>
        <w:tabs>
          <w:tab w:val="right" w:leader="dot" w:pos="8820"/>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_Toc5576 </w:instrText>
      </w:r>
      <w:r>
        <w:rPr>
          <w:color w:val="auto"/>
          <w:highlight w:val="none"/>
        </w:rPr>
        <w:fldChar w:fldCharType="separate"/>
      </w:r>
      <w:r>
        <w:rPr>
          <w:rFonts w:ascii="宋体" w:hAnsi="宋体" w:eastAsia="宋体" w:cs="宋体"/>
          <w:bCs/>
          <w:color w:val="auto"/>
          <w:highlight w:val="none"/>
        </w:rPr>
        <w:t>四、按磋商文件要求供应商所能提供的其他文件</w:t>
      </w:r>
      <w:r>
        <w:rPr>
          <w:color w:val="auto"/>
          <w:highlight w:val="none"/>
        </w:rPr>
        <w:tab/>
      </w:r>
      <w:r>
        <w:rPr>
          <w:rFonts w:hint="eastAsia"/>
          <w:color w:val="auto"/>
          <w:highlight w:val="none"/>
          <w:lang w:val="en-US" w:eastAsia="zh-CN"/>
        </w:rPr>
        <w:t>8</w:t>
      </w:r>
      <w:r>
        <w:rPr>
          <w:color w:val="auto"/>
          <w:highlight w:val="none"/>
        </w:rPr>
        <w:fldChar w:fldCharType="end"/>
      </w:r>
      <w:r>
        <w:rPr>
          <w:rFonts w:hint="eastAsia"/>
          <w:color w:val="auto"/>
          <w:highlight w:val="none"/>
          <w:lang w:val="en-US" w:eastAsia="zh-CN"/>
        </w:rPr>
        <w:t>0</w:t>
      </w:r>
    </w:p>
    <w:p w14:paraId="0FD5AF92">
      <w:pPr>
        <w:pStyle w:val="188"/>
        <w:jc w:val="center"/>
        <w:rPr>
          <w:color w:val="auto"/>
          <w:highlight w:val="none"/>
        </w:rPr>
        <w:sectPr>
          <w:footerReference r:id="rId6" w:type="first"/>
          <w:footerReference r:id="rId5" w:type="default"/>
          <w:pgSz w:w="11906" w:h="16838"/>
          <w:pgMar w:top="1418" w:right="1555" w:bottom="1418" w:left="1531" w:header="851" w:footer="992" w:gutter="0"/>
          <w:pgNumType w:start="1"/>
          <w:cols w:space="720" w:num="1"/>
          <w:docGrid w:linePitch="360" w:charSpace="0"/>
        </w:sectPr>
      </w:pPr>
      <w:r>
        <w:rPr>
          <w:color w:val="auto"/>
          <w:highlight w:val="none"/>
        </w:rPr>
        <w:fldChar w:fldCharType="end"/>
      </w:r>
      <w:bookmarkStart w:id="2" w:name="_Toc73364843"/>
      <w:bookmarkStart w:id="3" w:name="_Toc73365456"/>
    </w:p>
    <w:p w14:paraId="57DD73BA">
      <w:pPr>
        <w:pStyle w:val="188"/>
        <w:jc w:val="center"/>
        <w:rPr>
          <w:rFonts w:hint="eastAsia" w:ascii="宋体" w:hAnsi="宋体"/>
          <w:color w:val="auto"/>
          <w:sz w:val="36"/>
          <w:highlight w:val="none"/>
        </w:rPr>
      </w:pPr>
      <w:bookmarkStart w:id="4" w:name="_Toc15385"/>
      <w:r>
        <w:rPr>
          <w:rFonts w:hint="eastAsia" w:ascii="宋体" w:hAnsi="宋体"/>
          <w:color w:val="auto"/>
          <w:sz w:val="36"/>
          <w:highlight w:val="none"/>
        </w:rPr>
        <w:t>第一部分  磋商邀请</w:t>
      </w:r>
      <w:bookmarkEnd w:id="2"/>
      <w:bookmarkEnd w:id="3"/>
      <w:bookmarkEnd w:id="4"/>
    </w:p>
    <w:p w14:paraId="381538A3">
      <w:pPr>
        <w:rPr>
          <w:color w:val="auto"/>
          <w:highlight w:val="none"/>
        </w:rPr>
      </w:pPr>
      <w:bookmarkStart w:id="5" w:name="EB90a90c36211a4db3a2108a4f75c8af65"/>
      <w:r>
        <w:rPr>
          <w:rFonts w:hint="eastAsia"/>
          <w:color w:val="auto"/>
          <w:sz w:val="20"/>
          <w:highlight w:val="none"/>
        </w:rPr>
        <w:t xml:space="preserve"> </w:t>
      </w:r>
      <w:bookmarkEnd w:id="5"/>
      <w:bookmarkStart w:id="6" w:name="EBb19c9a8f63314b7a8160b48722b227e9"/>
      <w:r>
        <w:rPr>
          <w:rFonts w:hint="eastAsia"/>
          <w:color w:val="auto"/>
          <w:sz w:val="20"/>
          <w:highlight w:val="none"/>
        </w:rPr>
        <w:t xml:space="preserve"> </w:t>
      </w:r>
      <w:bookmarkEnd w:id="6"/>
    </w:p>
    <w:p w14:paraId="100A67F8">
      <w:pPr>
        <w:pBdr>
          <w:top w:val="single" w:color="000000" w:sz="4" w:space="1"/>
          <w:left w:val="single" w:color="000000" w:sz="4" w:space="4"/>
          <w:bottom w:val="single" w:color="000000" w:sz="4" w:space="1"/>
          <w:right w:val="single" w:color="000000" w:sz="4" w:space="4"/>
        </w:pBdr>
        <w:spacing w:line="360" w:lineRule="auto"/>
        <w:ind w:firstLine="480"/>
        <w:jc w:val="left"/>
        <w:rPr>
          <w:rFonts w:ascii="宋体" w:hAnsi="宋体"/>
          <w:color w:val="auto"/>
          <w:sz w:val="24"/>
          <w:szCs w:val="28"/>
          <w:highlight w:val="none"/>
        </w:rPr>
      </w:pPr>
      <w:r>
        <w:rPr>
          <w:rFonts w:hint="eastAsia" w:ascii="宋体" w:hAnsi="宋体"/>
          <w:color w:val="auto"/>
          <w:sz w:val="24"/>
          <w:szCs w:val="28"/>
          <w:highlight w:val="none"/>
        </w:rPr>
        <w:t>项目概况</w:t>
      </w:r>
    </w:p>
    <w:p w14:paraId="22A12060">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360" w:lineRule="auto"/>
        <w:ind w:firstLine="482"/>
        <w:jc w:val="left"/>
        <w:rPr>
          <w:rFonts w:ascii="宋体" w:hAnsi="宋体"/>
          <w:color w:val="auto"/>
          <w:sz w:val="24"/>
          <w:szCs w:val="28"/>
          <w:highlight w:val="none"/>
          <w:u w:val="single"/>
        </w:rPr>
      </w:pPr>
      <w:r>
        <w:rPr>
          <w:rFonts w:hint="eastAsia" w:ascii="宋体" w:hAnsi="宋体"/>
          <w:color w:val="auto"/>
          <w:sz w:val="24"/>
          <w:szCs w:val="28"/>
          <w:highlight w:val="none"/>
          <w:lang w:eastAsia="zh-CN"/>
        </w:rPr>
        <w:t>丹阳市正则高级中学宿舍修缮出新项目</w:t>
      </w:r>
      <w:r>
        <w:rPr>
          <w:rFonts w:hint="eastAsia" w:ascii="宋体" w:hAnsi="宋体"/>
          <w:color w:val="auto"/>
          <w:sz w:val="24"/>
          <w:szCs w:val="28"/>
          <w:highlight w:val="none"/>
          <w:lang w:val="en-US" w:eastAsia="zh-CN"/>
        </w:rPr>
        <w:t xml:space="preserve"> JSZC-321181-DYWX-C2026-0008 采购</w:t>
      </w:r>
      <w:r>
        <w:rPr>
          <w:rFonts w:hint="eastAsia" w:ascii="宋体" w:hAnsi="宋体"/>
          <w:color w:val="auto"/>
          <w:sz w:val="24"/>
          <w:szCs w:val="28"/>
          <w:highlight w:val="none"/>
        </w:rPr>
        <w:t>项目的潜在供应商应在江苏政府采购网-苏采云电子交易平台 获取</w:t>
      </w:r>
      <w:r>
        <w:rPr>
          <w:rFonts w:hint="eastAsia" w:ascii="宋体" w:hAnsi="宋体"/>
          <w:color w:val="auto"/>
          <w:sz w:val="24"/>
          <w:szCs w:val="28"/>
          <w:highlight w:val="none"/>
          <w:lang w:eastAsia="zh-CN"/>
        </w:rPr>
        <w:t>采购</w:t>
      </w:r>
      <w:r>
        <w:rPr>
          <w:rFonts w:hint="eastAsia" w:ascii="宋体" w:hAnsi="宋体"/>
          <w:color w:val="auto"/>
          <w:sz w:val="24"/>
          <w:szCs w:val="28"/>
          <w:highlight w:val="none"/>
        </w:rPr>
        <w:t>文件，并于</w:t>
      </w:r>
      <w:bookmarkStart w:id="7" w:name="EBa2e9efed1bd249f6967eff74ca5f9fe3"/>
      <w:r>
        <w:rPr>
          <w:rFonts w:hint="eastAsia" w:ascii="宋体" w:hAnsi="宋体"/>
          <w:color w:val="auto"/>
          <w:sz w:val="24"/>
          <w:szCs w:val="28"/>
          <w:highlight w:val="none"/>
          <w:lang w:val="en-US" w:eastAsia="zh-CN"/>
        </w:rPr>
        <w:t>2026</w:t>
      </w:r>
      <w:r>
        <w:rPr>
          <w:rFonts w:hint="eastAsia" w:ascii="宋体" w:hAnsi="宋体"/>
          <w:color w:val="auto"/>
          <w:sz w:val="24"/>
          <w:szCs w:val="28"/>
          <w:highlight w:val="none"/>
        </w:rPr>
        <w:t>-</w:t>
      </w:r>
      <w:r>
        <w:rPr>
          <w:rFonts w:hint="eastAsia" w:ascii="宋体" w:hAnsi="宋体"/>
          <w:color w:val="auto"/>
          <w:sz w:val="24"/>
          <w:szCs w:val="28"/>
          <w:highlight w:val="none"/>
          <w:lang w:val="en-US" w:eastAsia="zh-CN"/>
        </w:rPr>
        <w:t>5</w:t>
      </w:r>
      <w:r>
        <w:rPr>
          <w:rFonts w:hint="eastAsia" w:ascii="宋体" w:hAnsi="宋体"/>
          <w:color w:val="auto"/>
          <w:sz w:val="24"/>
          <w:szCs w:val="28"/>
          <w:highlight w:val="none"/>
        </w:rPr>
        <w:t>-</w:t>
      </w:r>
      <w:r>
        <w:rPr>
          <w:rFonts w:hint="eastAsia" w:ascii="宋体" w:hAnsi="宋体"/>
          <w:color w:val="auto"/>
          <w:sz w:val="24"/>
          <w:szCs w:val="28"/>
          <w:highlight w:val="none"/>
          <w:lang w:val="en-US" w:eastAsia="zh-CN"/>
        </w:rPr>
        <w:t xml:space="preserve">27  </w:t>
      </w:r>
      <w:r>
        <w:rPr>
          <w:rFonts w:hint="eastAsia" w:ascii="宋体" w:hAnsi="宋体"/>
          <w:color w:val="auto"/>
          <w:sz w:val="24"/>
          <w:szCs w:val="28"/>
          <w:highlight w:val="none"/>
        </w:rPr>
        <w:t xml:space="preserve"> 09</w:t>
      </w:r>
      <w:r>
        <w:rPr>
          <w:rFonts w:hint="eastAsia" w:ascii="宋体" w:hAnsi="宋体"/>
          <w:color w:val="auto"/>
          <w:sz w:val="24"/>
          <w:szCs w:val="28"/>
          <w:highlight w:val="none"/>
          <w:lang w:eastAsia="zh-CN"/>
        </w:rPr>
        <w:t>：</w:t>
      </w:r>
      <w:r>
        <w:rPr>
          <w:rFonts w:hint="eastAsia" w:ascii="宋体" w:hAnsi="宋体"/>
          <w:color w:val="auto"/>
          <w:sz w:val="24"/>
          <w:szCs w:val="28"/>
          <w:highlight w:val="none"/>
        </w:rPr>
        <w:t>30</w:t>
      </w:r>
      <w:bookmarkEnd w:id="7"/>
      <w:r>
        <w:rPr>
          <w:rFonts w:hint="eastAsia" w:ascii="宋体" w:hAnsi="宋体"/>
          <w:color w:val="auto"/>
          <w:sz w:val="24"/>
          <w:szCs w:val="28"/>
          <w:highlight w:val="none"/>
        </w:rPr>
        <w:t>（</w:t>
      </w:r>
      <w:r>
        <w:rPr>
          <w:rFonts w:hint="eastAsia" w:ascii="宋体" w:hAnsi="宋体"/>
          <w:bCs/>
          <w:color w:val="auto"/>
          <w:sz w:val="24"/>
          <w:szCs w:val="28"/>
          <w:highlight w:val="none"/>
        </w:rPr>
        <w:t>北京时间）前递交响应文件</w:t>
      </w:r>
      <w:r>
        <w:rPr>
          <w:rFonts w:hint="eastAsia" w:ascii="宋体" w:hAnsi="宋体"/>
          <w:color w:val="auto"/>
          <w:sz w:val="24"/>
          <w:szCs w:val="28"/>
          <w:highlight w:val="none"/>
        </w:rPr>
        <w:t>。</w:t>
      </w:r>
    </w:p>
    <w:p w14:paraId="76A16CD3">
      <w:pPr>
        <w:pStyle w:val="189"/>
        <w:keepNext/>
        <w:keepLines/>
        <w:pageBreakBefore w:val="0"/>
        <w:widowControl w:val="0"/>
        <w:spacing w:before="157" w:after="10" w:line="360" w:lineRule="auto"/>
        <w:jc w:val="left"/>
        <w:rPr>
          <w:rFonts w:ascii="宋体" w:hAnsi="宋体" w:eastAsia="宋体"/>
          <w:b/>
          <w:bCs/>
          <w:color w:val="auto"/>
          <w:highlight w:val="none"/>
        </w:rPr>
      </w:pPr>
      <w:bookmarkStart w:id="8" w:name="_Toc8340"/>
      <w:bookmarkStart w:id="9" w:name="_Toc73365457"/>
      <w:bookmarkStart w:id="10" w:name="_Toc73364844"/>
      <w:r>
        <w:rPr>
          <w:rFonts w:hint="eastAsia" w:ascii="宋体" w:hAnsi="宋体" w:eastAsia="宋体"/>
          <w:b/>
          <w:bCs/>
          <w:color w:val="auto"/>
          <w:highlight w:val="none"/>
        </w:rPr>
        <w:t>一、项目基本情况</w:t>
      </w:r>
      <w:bookmarkEnd w:id="8"/>
      <w:bookmarkEnd w:id="9"/>
      <w:bookmarkEnd w:id="10"/>
    </w:p>
    <w:p w14:paraId="581D0EB5">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项目编号：</w:t>
      </w:r>
      <w:r>
        <w:rPr>
          <w:rFonts w:hint="eastAsia" w:ascii="宋体" w:hAnsi="宋体"/>
          <w:color w:val="auto"/>
          <w:sz w:val="24"/>
          <w:szCs w:val="28"/>
          <w:highlight w:val="none"/>
          <w:lang w:eastAsia="zh-CN"/>
        </w:rPr>
        <w:t>JSZC-321181-DYWX-C2026-0008</w:t>
      </w:r>
    </w:p>
    <w:p w14:paraId="30BE22F5">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项目名称：</w:t>
      </w:r>
      <w:r>
        <w:rPr>
          <w:rFonts w:hint="eastAsia" w:ascii="宋体" w:hAnsi="宋体"/>
          <w:color w:val="auto"/>
          <w:sz w:val="24"/>
          <w:szCs w:val="28"/>
          <w:highlight w:val="none"/>
          <w:lang w:eastAsia="zh-CN"/>
        </w:rPr>
        <w:t>丹阳市正则高级中学宿舍修缮出新项目</w:t>
      </w:r>
      <w:r>
        <w:rPr>
          <w:rFonts w:ascii="宋体" w:hAnsi="宋体"/>
          <w:color w:val="auto"/>
          <w:sz w:val="24"/>
          <w:szCs w:val="28"/>
          <w:highlight w:val="none"/>
        </w:rPr>
        <w:t xml:space="preserve"> </w:t>
      </w:r>
    </w:p>
    <w:p w14:paraId="758B7611">
      <w:pP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预算金额：</w:t>
      </w:r>
      <w:r>
        <w:rPr>
          <w:rFonts w:hint="eastAsia" w:ascii="宋体" w:hAnsi="宋体"/>
          <w:color w:val="auto"/>
          <w:sz w:val="24"/>
          <w:szCs w:val="28"/>
          <w:highlight w:val="none"/>
          <w:lang w:eastAsia="zh-CN"/>
        </w:rPr>
        <w:t>3757230</w:t>
      </w:r>
      <w:r>
        <w:rPr>
          <w:rFonts w:hint="eastAsia" w:ascii="宋体" w:hAnsi="宋体"/>
          <w:color w:val="auto"/>
          <w:sz w:val="24"/>
          <w:szCs w:val="28"/>
          <w:highlight w:val="none"/>
          <w:lang w:val="en-US" w:eastAsia="zh-CN"/>
        </w:rPr>
        <w:t>.</w:t>
      </w:r>
      <w:r>
        <w:rPr>
          <w:rFonts w:hint="eastAsia" w:ascii="宋体" w:hAnsi="宋体"/>
          <w:color w:val="auto"/>
          <w:sz w:val="24"/>
          <w:szCs w:val="28"/>
          <w:highlight w:val="none"/>
          <w:lang w:eastAsia="zh-CN"/>
        </w:rPr>
        <w:t>55元</w:t>
      </w:r>
    </w:p>
    <w:p w14:paraId="7EAB5E7A">
      <w:pPr>
        <w:spacing w:line="360" w:lineRule="auto"/>
        <w:ind w:firstLine="480"/>
        <w:rPr>
          <w:rFonts w:hint="eastAsia"/>
          <w:color w:val="auto"/>
          <w:highlight w:val="none"/>
        </w:rPr>
      </w:pPr>
      <w:r>
        <w:rPr>
          <w:rFonts w:hint="eastAsia" w:ascii="宋体" w:hAnsi="宋体"/>
          <w:color w:val="auto"/>
          <w:sz w:val="24"/>
          <w:szCs w:val="28"/>
          <w:highlight w:val="none"/>
          <w:lang w:eastAsia="zh-CN"/>
        </w:rPr>
        <w:t>最高限价：3518027.02元</w:t>
      </w:r>
      <w:r>
        <w:rPr>
          <w:rFonts w:hint="eastAsia" w:ascii="宋体" w:hAnsi="宋体"/>
          <w:color w:val="auto"/>
          <w:sz w:val="24"/>
          <w:szCs w:val="28"/>
          <w:highlight w:val="none"/>
        </w:rPr>
        <w:t>，超过最高限价的为无效报价，按无效响应处理。</w:t>
      </w:r>
    </w:p>
    <w:p w14:paraId="5CFFAD4E">
      <w:pP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采购需求：</w:t>
      </w:r>
      <w:bookmarkStart w:id="11" w:name="EB5d98601673ee4dabb6909c42181f9c92"/>
      <w:r>
        <w:rPr>
          <w:rFonts w:hint="eastAsia" w:ascii="宋体" w:hAnsi="宋体"/>
          <w:color w:val="auto"/>
          <w:sz w:val="24"/>
          <w:szCs w:val="28"/>
          <w:highlight w:val="none"/>
          <w:lang w:eastAsia="zh-CN"/>
        </w:rPr>
        <w:t>对丹阳市正则高级中学</w:t>
      </w:r>
      <w:r>
        <w:rPr>
          <w:rFonts w:hint="eastAsia" w:ascii="宋体" w:hAnsi="宋体"/>
          <w:color w:val="auto"/>
          <w:sz w:val="24"/>
          <w:szCs w:val="28"/>
          <w:highlight w:val="none"/>
          <w:lang w:val="en-US" w:eastAsia="zh-CN"/>
        </w:rPr>
        <w:t>1、2、3号宿舍楼内墙、门窗以及卫生间等进行修缮出新，总建筑面积约6300平方米</w:t>
      </w:r>
      <w:r>
        <w:rPr>
          <w:rFonts w:hint="eastAsia" w:ascii="宋体" w:hAnsi="宋体"/>
          <w:color w:val="auto"/>
          <w:sz w:val="24"/>
          <w:szCs w:val="28"/>
          <w:highlight w:val="none"/>
          <w:lang w:eastAsia="zh-CN"/>
        </w:rPr>
        <w:t>。</w:t>
      </w:r>
      <w:r>
        <w:rPr>
          <w:rFonts w:hint="eastAsia" w:ascii="宋体" w:hAnsi="宋体"/>
          <w:color w:val="auto"/>
          <w:sz w:val="24"/>
          <w:szCs w:val="28"/>
          <w:highlight w:val="none"/>
        </w:rPr>
        <w:t>详细内容及要求</w:t>
      </w:r>
      <w:r>
        <w:rPr>
          <w:rFonts w:hint="eastAsia" w:ascii="宋体" w:hAnsi="宋体"/>
          <w:color w:val="auto"/>
          <w:sz w:val="24"/>
          <w:szCs w:val="28"/>
          <w:highlight w:val="none"/>
          <w:lang w:eastAsia="zh-CN"/>
        </w:rPr>
        <w:t>详</w:t>
      </w:r>
      <w:r>
        <w:rPr>
          <w:rFonts w:hint="eastAsia" w:ascii="宋体" w:hAnsi="宋体"/>
          <w:color w:val="auto"/>
          <w:sz w:val="24"/>
          <w:szCs w:val="28"/>
          <w:highlight w:val="none"/>
        </w:rPr>
        <w:t>见</w:t>
      </w:r>
      <w:r>
        <w:rPr>
          <w:rFonts w:hint="eastAsia" w:ascii="宋体" w:hAnsi="宋体"/>
          <w:color w:val="auto"/>
          <w:sz w:val="24"/>
          <w:szCs w:val="28"/>
          <w:highlight w:val="none"/>
          <w:lang w:eastAsia="zh-CN"/>
        </w:rPr>
        <w:t>采购文件</w:t>
      </w:r>
      <w:r>
        <w:rPr>
          <w:rFonts w:hint="eastAsia" w:ascii="宋体" w:hAnsi="宋体"/>
          <w:color w:val="auto"/>
          <w:sz w:val="24"/>
          <w:szCs w:val="28"/>
          <w:highlight w:val="none"/>
        </w:rPr>
        <w:t>。</w:t>
      </w:r>
      <w:bookmarkEnd w:id="11"/>
    </w:p>
    <w:p w14:paraId="0676F09A">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合同履行期限：</w:t>
      </w:r>
      <w:r>
        <w:rPr>
          <w:rFonts w:hint="eastAsia" w:ascii="宋体" w:hAnsi="宋体"/>
          <w:color w:val="auto"/>
          <w:sz w:val="24"/>
          <w:szCs w:val="28"/>
          <w:highlight w:val="none"/>
          <w:lang w:val="en-US" w:eastAsia="zh-CN"/>
        </w:rPr>
        <w:t>45日历天</w:t>
      </w:r>
    </w:p>
    <w:p w14:paraId="112BA09A">
      <w:pPr>
        <w:spacing w:line="360" w:lineRule="auto"/>
        <w:ind w:firstLine="480"/>
        <w:rPr>
          <w:color w:val="auto"/>
          <w:highlight w:val="none"/>
        </w:rPr>
      </w:pPr>
      <w:r>
        <w:rPr>
          <w:rFonts w:hint="eastAsia" w:ascii="宋体" w:hAnsi="宋体"/>
          <w:color w:val="auto"/>
          <w:sz w:val="24"/>
          <w:highlight w:val="none"/>
        </w:rPr>
        <w:t>本项目是否接受联合体：</w:t>
      </w:r>
      <w:r>
        <w:rPr>
          <w:rFonts w:hint="eastAsia" w:ascii="宋体" w:hAnsi="宋体"/>
          <w:color w:val="auto"/>
          <w:sz w:val="24"/>
          <w:szCs w:val="28"/>
          <w:highlight w:val="none"/>
        </w:rPr>
        <w:t>不接受</w:t>
      </w:r>
    </w:p>
    <w:p w14:paraId="2A222DCE">
      <w:pPr>
        <w:pStyle w:val="189"/>
        <w:keepNext/>
        <w:keepLines/>
        <w:pageBreakBefore w:val="0"/>
        <w:widowControl w:val="0"/>
        <w:spacing w:before="157" w:after="10" w:line="360" w:lineRule="auto"/>
        <w:jc w:val="left"/>
        <w:rPr>
          <w:rFonts w:hint="eastAsia" w:ascii="宋体" w:hAnsi="宋体" w:eastAsia="宋体" w:cs="Times New Roman"/>
          <w:b/>
          <w:bCs/>
          <w:color w:val="auto"/>
          <w:highlight w:val="none"/>
        </w:rPr>
      </w:pPr>
      <w:bookmarkStart w:id="12" w:name="_Toc73365458"/>
      <w:bookmarkStart w:id="13" w:name="_Toc73364845"/>
      <w:bookmarkStart w:id="14" w:name="_Toc3214"/>
      <w:r>
        <w:rPr>
          <w:rFonts w:hint="eastAsia" w:ascii="宋体" w:hAnsi="宋体" w:eastAsia="宋体" w:cs="Times New Roman"/>
          <w:b/>
          <w:bCs/>
          <w:color w:val="auto"/>
          <w:highlight w:val="none"/>
        </w:rPr>
        <w:t>二、申请人的资格要求：</w:t>
      </w:r>
      <w:bookmarkEnd w:id="12"/>
      <w:bookmarkEnd w:id="13"/>
      <w:bookmarkEnd w:id="14"/>
    </w:p>
    <w:p w14:paraId="452D1A00">
      <w:pPr>
        <w:keepNext w:val="0"/>
        <w:keepLines w:val="0"/>
        <w:pageBreakBefore w:val="0"/>
        <w:widowControl w:val="0"/>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1. 满足《中华人民共和国政府采购法》第二十二条规定</w:t>
      </w:r>
      <w:r>
        <w:rPr>
          <w:rFonts w:hint="eastAsia" w:ascii="宋体" w:hAnsi="宋体"/>
          <w:color w:val="auto"/>
          <w:sz w:val="24"/>
          <w:szCs w:val="28"/>
          <w:highlight w:val="none"/>
          <w:lang w:eastAsia="zh-CN"/>
        </w:rPr>
        <w:t>：</w:t>
      </w:r>
    </w:p>
    <w:p w14:paraId="6ED39F30">
      <w:pPr>
        <w:keepNext w:val="0"/>
        <w:keepLines w:val="0"/>
        <w:pageBreakBefore w:val="0"/>
        <w:widowControl w:val="0"/>
        <w:spacing w:line="360" w:lineRule="auto"/>
        <w:ind w:firstLine="480"/>
        <w:rPr>
          <w:rFonts w:ascii="宋体" w:hAnsi="宋体"/>
          <w:color w:val="auto"/>
          <w:sz w:val="24"/>
          <w:szCs w:val="28"/>
          <w:highlight w:val="none"/>
        </w:rPr>
      </w:pPr>
      <w:bookmarkStart w:id="15" w:name="EBc1bc06189b4a41ccac26e04e92f3d69f"/>
      <w:r>
        <w:rPr>
          <w:rFonts w:hint="eastAsia" w:ascii="宋体" w:hAnsi="宋体"/>
          <w:color w:val="auto"/>
          <w:sz w:val="24"/>
          <w:szCs w:val="28"/>
          <w:highlight w:val="none"/>
          <w:lang w:eastAsia="zh-CN"/>
        </w:rPr>
        <w:t>（</w:t>
      </w:r>
      <w:r>
        <w:rPr>
          <w:rFonts w:hint="eastAsia" w:ascii="宋体" w:hAnsi="宋体"/>
          <w:color w:val="auto"/>
          <w:sz w:val="24"/>
          <w:szCs w:val="28"/>
          <w:highlight w:val="none"/>
          <w:lang w:val="en-US" w:eastAsia="zh-CN"/>
        </w:rPr>
        <w:t>1</w:t>
      </w:r>
      <w:r>
        <w:rPr>
          <w:rFonts w:hint="eastAsia" w:ascii="宋体" w:hAnsi="宋体"/>
          <w:color w:val="auto"/>
          <w:sz w:val="24"/>
          <w:szCs w:val="28"/>
          <w:highlight w:val="none"/>
          <w:lang w:eastAsia="zh-CN"/>
        </w:rPr>
        <w:t>）</w:t>
      </w:r>
      <w:r>
        <w:rPr>
          <w:rFonts w:hint="eastAsia" w:ascii="宋体" w:hAnsi="宋体"/>
          <w:color w:val="auto"/>
          <w:sz w:val="24"/>
          <w:szCs w:val="28"/>
          <w:highlight w:val="none"/>
        </w:rPr>
        <w:t>具有独立承担民事责任的能力；</w:t>
      </w:r>
    </w:p>
    <w:p w14:paraId="3AB2D8D5">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eastAsia="zh-CN"/>
        </w:rPr>
        <w:t>（</w:t>
      </w:r>
      <w:r>
        <w:rPr>
          <w:rFonts w:hint="eastAsia" w:ascii="宋体" w:hAnsi="宋体"/>
          <w:color w:val="auto"/>
          <w:sz w:val="24"/>
          <w:szCs w:val="28"/>
          <w:highlight w:val="none"/>
          <w:lang w:val="en-US" w:eastAsia="zh-CN"/>
        </w:rPr>
        <w:t>2</w:t>
      </w:r>
      <w:r>
        <w:rPr>
          <w:rFonts w:hint="eastAsia" w:ascii="宋体" w:hAnsi="宋体"/>
          <w:color w:val="auto"/>
          <w:sz w:val="24"/>
          <w:szCs w:val="28"/>
          <w:highlight w:val="none"/>
          <w:lang w:eastAsia="zh-CN"/>
        </w:rPr>
        <w:t>）</w:t>
      </w:r>
      <w:r>
        <w:rPr>
          <w:rFonts w:hint="eastAsia" w:ascii="宋体" w:hAnsi="宋体"/>
          <w:color w:val="auto"/>
          <w:sz w:val="24"/>
          <w:szCs w:val="28"/>
          <w:highlight w:val="none"/>
        </w:rPr>
        <w:t>具有良好的商业信誉和健全的财务会计制度；</w:t>
      </w:r>
    </w:p>
    <w:p w14:paraId="31B12025">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eastAsia="zh-CN"/>
        </w:rPr>
        <w:t>（</w:t>
      </w:r>
      <w:r>
        <w:rPr>
          <w:rFonts w:hint="eastAsia" w:ascii="宋体" w:hAnsi="宋体"/>
          <w:color w:val="auto"/>
          <w:sz w:val="24"/>
          <w:szCs w:val="28"/>
          <w:highlight w:val="none"/>
          <w:lang w:val="en-US" w:eastAsia="zh-CN"/>
        </w:rPr>
        <w:t>3</w:t>
      </w:r>
      <w:r>
        <w:rPr>
          <w:rFonts w:hint="eastAsia" w:ascii="宋体" w:hAnsi="宋体"/>
          <w:color w:val="auto"/>
          <w:sz w:val="24"/>
          <w:szCs w:val="28"/>
          <w:highlight w:val="none"/>
          <w:lang w:eastAsia="zh-CN"/>
        </w:rPr>
        <w:t>）</w:t>
      </w:r>
      <w:r>
        <w:rPr>
          <w:rFonts w:hint="eastAsia" w:ascii="宋体" w:hAnsi="宋体"/>
          <w:color w:val="auto"/>
          <w:sz w:val="24"/>
          <w:szCs w:val="28"/>
          <w:highlight w:val="none"/>
        </w:rPr>
        <w:t>具有履行合同所必需的设备和专业技术能力；</w:t>
      </w:r>
    </w:p>
    <w:p w14:paraId="6B796BB4">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eastAsia="zh-CN"/>
        </w:rPr>
        <w:t>（</w:t>
      </w:r>
      <w:r>
        <w:rPr>
          <w:rFonts w:hint="eastAsia" w:ascii="宋体" w:hAnsi="宋体"/>
          <w:color w:val="auto"/>
          <w:sz w:val="24"/>
          <w:szCs w:val="28"/>
          <w:highlight w:val="none"/>
          <w:lang w:val="en-US" w:eastAsia="zh-CN"/>
        </w:rPr>
        <w:t>4</w:t>
      </w:r>
      <w:r>
        <w:rPr>
          <w:rFonts w:hint="eastAsia" w:ascii="宋体" w:hAnsi="宋体"/>
          <w:color w:val="auto"/>
          <w:sz w:val="24"/>
          <w:szCs w:val="28"/>
          <w:highlight w:val="none"/>
          <w:lang w:eastAsia="zh-CN"/>
        </w:rPr>
        <w:t>）</w:t>
      </w:r>
      <w:r>
        <w:rPr>
          <w:rFonts w:hint="eastAsia" w:ascii="宋体" w:hAnsi="宋体"/>
          <w:color w:val="auto"/>
          <w:sz w:val="24"/>
          <w:szCs w:val="28"/>
          <w:highlight w:val="none"/>
        </w:rPr>
        <w:t>有依法缴纳税收和社会保障资金的良好记录；</w:t>
      </w:r>
    </w:p>
    <w:p w14:paraId="2AAFCF9D">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eastAsia="zh-CN"/>
        </w:rPr>
        <w:t>（</w:t>
      </w:r>
      <w:r>
        <w:rPr>
          <w:rFonts w:hint="eastAsia" w:ascii="宋体" w:hAnsi="宋体"/>
          <w:color w:val="auto"/>
          <w:sz w:val="24"/>
          <w:szCs w:val="28"/>
          <w:highlight w:val="none"/>
          <w:lang w:val="en-US" w:eastAsia="zh-CN"/>
        </w:rPr>
        <w:t>5</w:t>
      </w:r>
      <w:r>
        <w:rPr>
          <w:rFonts w:hint="eastAsia" w:ascii="宋体" w:hAnsi="宋体"/>
          <w:color w:val="auto"/>
          <w:sz w:val="24"/>
          <w:szCs w:val="28"/>
          <w:highlight w:val="none"/>
          <w:lang w:eastAsia="zh-CN"/>
        </w:rPr>
        <w:t>）</w:t>
      </w:r>
      <w:r>
        <w:rPr>
          <w:rFonts w:hint="eastAsia" w:ascii="宋体" w:hAnsi="宋体"/>
          <w:color w:val="auto"/>
          <w:sz w:val="24"/>
          <w:szCs w:val="28"/>
          <w:highlight w:val="none"/>
        </w:rPr>
        <w:t>参加政府采购活动前三年内，在经营活动中没有重大违法记录；</w:t>
      </w:r>
    </w:p>
    <w:p w14:paraId="2CAC2B1B">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eastAsia="zh-CN"/>
        </w:rPr>
        <w:t>（</w:t>
      </w:r>
      <w:r>
        <w:rPr>
          <w:rFonts w:hint="eastAsia" w:ascii="宋体" w:hAnsi="宋体"/>
          <w:color w:val="auto"/>
          <w:sz w:val="24"/>
          <w:szCs w:val="28"/>
          <w:highlight w:val="none"/>
          <w:lang w:val="en-US" w:eastAsia="zh-CN"/>
        </w:rPr>
        <w:t>6</w:t>
      </w:r>
      <w:r>
        <w:rPr>
          <w:rFonts w:hint="eastAsia" w:ascii="宋体" w:hAnsi="宋体"/>
          <w:color w:val="auto"/>
          <w:sz w:val="24"/>
          <w:szCs w:val="28"/>
          <w:highlight w:val="none"/>
          <w:lang w:eastAsia="zh-CN"/>
        </w:rPr>
        <w:t>）</w:t>
      </w:r>
      <w:r>
        <w:rPr>
          <w:rFonts w:hint="eastAsia" w:ascii="宋体" w:hAnsi="宋体"/>
          <w:color w:val="auto"/>
          <w:sz w:val="24"/>
          <w:szCs w:val="28"/>
          <w:highlight w:val="none"/>
        </w:rPr>
        <w:t>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p>
    <w:p w14:paraId="527A9B34">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2.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建筑业。</w:t>
      </w:r>
    </w:p>
    <w:p w14:paraId="696F873F">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3.本项目的特定资格要求：</w:t>
      </w:r>
      <w:bookmarkEnd w:id="15"/>
    </w:p>
    <w:p w14:paraId="718B205B">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w:t>
      </w:r>
      <w:r>
        <w:rPr>
          <w:rFonts w:hint="eastAsia" w:ascii="宋体" w:hAnsi="宋体" w:eastAsia="宋体" w:cs="Times New Roman"/>
          <w:color w:val="auto"/>
          <w:sz w:val="24"/>
          <w:szCs w:val="28"/>
          <w:highlight w:val="none"/>
          <w:lang w:val="en-US" w:eastAsia="zh-CN"/>
        </w:rPr>
        <w:t>1</w:t>
      </w:r>
      <w:r>
        <w:rPr>
          <w:rFonts w:hint="eastAsia" w:ascii="宋体" w:hAnsi="宋体" w:eastAsia="宋体" w:cs="Times New Roman"/>
          <w:color w:val="auto"/>
          <w:sz w:val="24"/>
          <w:szCs w:val="28"/>
          <w:highlight w:val="none"/>
          <w:lang w:eastAsia="zh-CN"/>
        </w:rPr>
        <w:t>）</w:t>
      </w:r>
      <w:r>
        <w:rPr>
          <w:rFonts w:hint="eastAsia" w:ascii="宋体" w:hAnsi="宋体"/>
          <w:color w:val="auto"/>
          <w:sz w:val="24"/>
          <w:szCs w:val="28"/>
          <w:highlight w:val="none"/>
          <w:lang w:eastAsia="zh-CN"/>
        </w:rPr>
        <w:t>投标人须具有建筑工程施工总承包三级及以上资质（响应文件递交截止时间当日，建筑业企业资质动态监管结果未处于不合格状态，否则视为无效）、建设行政主管部门颁发的安全生产许可证。（提供企业有效的资质证书及安全生产许可证）</w:t>
      </w:r>
    </w:p>
    <w:p w14:paraId="5554962E">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（2）</w:t>
      </w:r>
      <w:r>
        <w:rPr>
          <w:rFonts w:hint="eastAsia" w:ascii="宋体" w:hAnsi="宋体" w:eastAsia="宋体" w:cs="Times New Roman"/>
          <w:color w:val="auto"/>
          <w:sz w:val="24"/>
          <w:szCs w:val="28"/>
          <w:highlight w:val="none"/>
          <w:lang w:eastAsia="zh-CN"/>
        </w:rPr>
        <w:t>拟派项目负责人具备</w:t>
      </w:r>
      <w:r>
        <w:rPr>
          <w:rFonts w:hint="eastAsia" w:ascii="宋体" w:hAnsi="宋体" w:cs="Times New Roman"/>
          <w:color w:val="auto"/>
          <w:sz w:val="24"/>
          <w:szCs w:val="28"/>
          <w:highlight w:val="none"/>
          <w:lang w:eastAsia="zh-CN"/>
        </w:rPr>
        <w:t>建筑工程二级</w:t>
      </w:r>
      <w:r>
        <w:rPr>
          <w:rFonts w:hint="eastAsia" w:ascii="宋体" w:hAnsi="宋体" w:eastAsia="宋体" w:cs="Times New Roman"/>
          <w:color w:val="auto"/>
          <w:sz w:val="24"/>
          <w:szCs w:val="28"/>
          <w:highlight w:val="none"/>
          <w:lang w:eastAsia="zh-CN"/>
        </w:rPr>
        <w:t>及以上注册建造师、</w:t>
      </w:r>
      <w:r>
        <w:rPr>
          <w:rFonts w:hint="eastAsia" w:ascii="宋体" w:hAnsi="宋体" w:cs="Times New Roman"/>
          <w:color w:val="auto"/>
          <w:sz w:val="24"/>
          <w:szCs w:val="28"/>
          <w:highlight w:val="none"/>
          <w:lang w:eastAsia="zh-CN"/>
        </w:rPr>
        <w:t>建设行政主管部门核发的有效的《安全生产考核合格证书》（B证）、项目负责人</w:t>
      </w:r>
      <w:r>
        <w:rPr>
          <w:rFonts w:hint="eastAsia" w:ascii="宋体" w:hAnsi="宋体" w:eastAsia="宋体" w:cs="Times New Roman"/>
          <w:color w:val="auto"/>
          <w:sz w:val="24"/>
          <w:szCs w:val="28"/>
          <w:highlight w:val="none"/>
          <w:lang w:val="en-US" w:eastAsia="zh-CN"/>
        </w:rPr>
        <w:t>无在建</w:t>
      </w:r>
      <w:r>
        <w:rPr>
          <w:rFonts w:hint="eastAsia" w:ascii="宋体" w:hAnsi="宋体" w:cs="Times New Roman"/>
          <w:color w:val="auto"/>
          <w:sz w:val="24"/>
          <w:szCs w:val="28"/>
          <w:highlight w:val="none"/>
          <w:lang w:val="en-US" w:eastAsia="zh-CN"/>
        </w:rPr>
        <w:t>工程</w:t>
      </w:r>
      <w:r>
        <w:rPr>
          <w:rFonts w:hint="eastAsia" w:ascii="宋体" w:hAnsi="宋体" w:eastAsia="宋体" w:cs="Times New Roman"/>
          <w:color w:val="auto"/>
          <w:sz w:val="24"/>
          <w:szCs w:val="28"/>
          <w:highlight w:val="none"/>
          <w:lang w:eastAsia="zh-CN"/>
        </w:rPr>
        <w:t>。（提供拟派项目负责人有效的建造师注册证书、安全生产考核合格B类证书）</w:t>
      </w:r>
    </w:p>
    <w:p w14:paraId="2A97078E">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（3）投标人为拟派项目负责人缴纳</w:t>
      </w:r>
      <w:r>
        <w:rPr>
          <w:rFonts w:hint="eastAsia" w:ascii="宋体" w:hAnsi="宋体" w:cs="Times New Roman"/>
          <w:color w:val="auto"/>
          <w:sz w:val="24"/>
          <w:szCs w:val="28"/>
          <w:highlight w:val="none"/>
          <w:lang w:val="en-US" w:eastAsia="zh-CN"/>
        </w:rPr>
        <w:t>2026年4月</w:t>
      </w:r>
      <w:r>
        <w:rPr>
          <w:rFonts w:hint="eastAsia" w:ascii="宋体" w:hAnsi="宋体" w:eastAsia="宋体" w:cs="Times New Roman"/>
          <w:color w:val="auto"/>
          <w:sz w:val="24"/>
          <w:szCs w:val="28"/>
          <w:highlight w:val="none"/>
          <w:lang w:val="en-US" w:eastAsia="zh-CN"/>
        </w:rPr>
        <w:t>社会保险证明</w:t>
      </w:r>
      <w:r>
        <w:rPr>
          <w:rFonts w:hint="eastAsia" w:ascii="宋体" w:hAnsi="宋体" w:eastAsia="宋体" w:cs="Times New Roman"/>
          <w:color w:val="auto"/>
          <w:sz w:val="24"/>
          <w:szCs w:val="28"/>
          <w:highlight w:val="none"/>
          <w:lang w:eastAsia="zh-CN"/>
        </w:rPr>
        <w:t>。</w:t>
      </w:r>
      <w:r>
        <w:rPr>
          <w:rFonts w:hint="eastAsia" w:ascii="宋体" w:hAnsi="宋体" w:eastAsia="宋体" w:cs="Times New Roman"/>
          <w:color w:val="auto"/>
          <w:sz w:val="24"/>
          <w:szCs w:val="28"/>
          <w:highlight w:val="none"/>
          <w:lang w:val="en-US" w:eastAsia="zh-CN"/>
        </w:rPr>
        <w:t>（提供为拟派项目负责人缴纳的</w:t>
      </w:r>
      <w:r>
        <w:rPr>
          <w:rFonts w:hint="eastAsia" w:ascii="宋体" w:hAnsi="宋体" w:cs="Times New Roman"/>
          <w:color w:val="auto"/>
          <w:sz w:val="24"/>
          <w:szCs w:val="28"/>
          <w:highlight w:val="none"/>
          <w:lang w:val="en-US" w:eastAsia="zh-CN"/>
        </w:rPr>
        <w:t>2026年4月</w:t>
      </w:r>
      <w:r>
        <w:rPr>
          <w:rFonts w:hint="eastAsia" w:ascii="宋体" w:hAnsi="宋体" w:eastAsia="宋体" w:cs="Times New Roman"/>
          <w:color w:val="auto"/>
          <w:sz w:val="24"/>
          <w:szCs w:val="28"/>
          <w:highlight w:val="none"/>
          <w:lang w:val="en-US" w:eastAsia="zh-CN"/>
        </w:rPr>
        <w:t>的社会保险证明。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p>
    <w:p w14:paraId="50D95A07">
      <w:pPr>
        <w:keepNext w:val="0"/>
        <w:keepLines w:val="0"/>
        <w:pageBreakBefore w:val="0"/>
        <w:widowControl w:val="0"/>
        <w:spacing w:line="360" w:lineRule="auto"/>
        <w:ind w:firstLine="480"/>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（4）</w:t>
      </w:r>
      <w:r>
        <w:rPr>
          <w:rFonts w:hint="eastAsia" w:ascii="宋体" w:hAnsi="宋体" w:eastAsia="宋体" w:cs="Times New Roman"/>
          <w:color w:val="auto"/>
          <w:sz w:val="24"/>
          <w:szCs w:val="28"/>
          <w:highlight w:val="none"/>
          <w:lang w:eastAsia="zh-CN"/>
        </w:rPr>
        <w:t>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信用江苏”、“中国政府采购网”网站列入失信被执行人、重大税收违法案件当事人名单、政府采购严重违法失信行为记录名单，不得参加本项目的采购活动。</w:t>
      </w:r>
    </w:p>
    <w:p w14:paraId="1FCE9754">
      <w:pPr>
        <w:pStyle w:val="189"/>
        <w:keepNext/>
        <w:keepLines/>
        <w:pageBreakBefore w:val="0"/>
        <w:widowControl w:val="0"/>
        <w:spacing w:before="157" w:after="10" w:line="360" w:lineRule="auto"/>
        <w:jc w:val="left"/>
        <w:rPr>
          <w:rFonts w:hint="eastAsia" w:ascii="宋体" w:hAnsi="宋体" w:eastAsia="宋体" w:cs="Times New Roman"/>
          <w:b/>
          <w:bCs/>
          <w:color w:val="auto"/>
          <w:highlight w:val="none"/>
        </w:rPr>
      </w:pPr>
      <w:bookmarkStart w:id="16" w:name="_Toc73365459"/>
      <w:bookmarkStart w:id="17" w:name="_Toc12042"/>
      <w:bookmarkStart w:id="18" w:name="_Toc73364846"/>
      <w:r>
        <w:rPr>
          <w:rFonts w:hint="eastAsia" w:ascii="宋体" w:hAnsi="宋体" w:eastAsia="宋体" w:cs="Times New Roman"/>
          <w:b/>
          <w:bCs/>
          <w:color w:val="auto"/>
          <w:highlight w:val="none"/>
        </w:rPr>
        <w:t>三、获取磋商文件</w:t>
      </w:r>
      <w:bookmarkEnd w:id="16"/>
      <w:bookmarkEnd w:id="17"/>
      <w:bookmarkEnd w:id="18"/>
    </w:p>
    <w:p w14:paraId="61BC8E5B">
      <w:pPr>
        <w:pageBreakBefore w:val="0"/>
        <w:widowControl w:val="0"/>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间：自磋商文件公告发布之日起5个工作日</w:t>
      </w:r>
    </w:p>
    <w:p w14:paraId="7575947E">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点：江苏政府采购网-苏采云平台</w:t>
      </w:r>
    </w:p>
    <w:p w14:paraId="37AF45B7">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式：在线获取</w:t>
      </w:r>
    </w:p>
    <w:p w14:paraId="42246976">
      <w:pPr>
        <w:keepNext w:val="0"/>
        <w:keepLines w:val="0"/>
        <w:pageBreakBefore w:val="0"/>
        <w:widowControl w:val="0"/>
        <w:spacing w:line="360" w:lineRule="auto"/>
        <w:ind w:firstLine="480"/>
        <w:rPr>
          <w:color w:val="auto"/>
          <w:sz w:val="22"/>
          <w:szCs w:val="22"/>
          <w:highlight w:val="none"/>
        </w:rPr>
      </w:pPr>
      <w:r>
        <w:rPr>
          <w:rFonts w:hint="eastAsia" w:ascii="宋体" w:hAnsi="宋体" w:eastAsia="宋体" w:cs="Times New Roman"/>
          <w:color w:val="auto"/>
          <w:sz w:val="24"/>
          <w:szCs w:val="28"/>
          <w:highlight w:val="none"/>
          <w:lang w:val="en-US" w:eastAsia="zh-CN"/>
        </w:rPr>
        <w:t>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价：0.00元</w:t>
      </w:r>
    </w:p>
    <w:p w14:paraId="7A637331">
      <w:pPr>
        <w:pStyle w:val="189"/>
        <w:keepNext/>
        <w:keepLines/>
        <w:pageBreakBefore w:val="0"/>
        <w:widowControl w:val="0"/>
        <w:spacing w:before="157" w:after="10" w:line="360" w:lineRule="auto"/>
        <w:jc w:val="left"/>
        <w:rPr>
          <w:rFonts w:hint="eastAsia" w:ascii="宋体" w:hAnsi="宋体" w:eastAsia="宋体" w:cs="Times New Roman"/>
          <w:b/>
          <w:bCs/>
          <w:color w:val="auto"/>
          <w:highlight w:val="none"/>
        </w:rPr>
      </w:pPr>
      <w:bookmarkStart w:id="19" w:name="_Toc15434"/>
      <w:r>
        <w:rPr>
          <w:rFonts w:hint="eastAsia" w:ascii="宋体" w:hAnsi="宋体" w:eastAsia="宋体" w:cs="Times New Roman"/>
          <w:b/>
          <w:bCs/>
          <w:color w:val="auto"/>
          <w:highlight w:val="none"/>
        </w:rPr>
        <w:t>四、响应文件提交</w:t>
      </w:r>
      <w:bookmarkEnd w:id="19"/>
    </w:p>
    <w:p w14:paraId="1298B254">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截止时间：</w:t>
      </w:r>
      <w:r>
        <w:rPr>
          <w:rFonts w:hint="eastAsia" w:ascii="宋体" w:hAnsi="宋体" w:cs="Times New Roman"/>
          <w:color w:val="auto"/>
          <w:sz w:val="24"/>
          <w:szCs w:val="28"/>
          <w:highlight w:val="none"/>
          <w:lang w:val="en-US" w:eastAsia="zh-CN"/>
        </w:rPr>
        <w:t>2026</w:t>
      </w:r>
      <w:r>
        <w:rPr>
          <w:rFonts w:hint="eastAsia" w:ascii="宋体" w:hAnsi="宋体" w:eastAsia="宋体" w:cs="Times New Roman"/>
          <w:color w:val="auto"/>
          <w:sz w:val="24"/>
          <w:szCs w:val="28"/>
          <w:highlight w:val="none"/>
          <w:lang w:val="en-US" w:eastAsia="zh-CN"/>
        </w:rPr>
        <w:t>-</w:t>
      </w:r>
      <w:r>
        <w:rPr>
          <w:rFonts w:hint="eastAsia" w:ascii="宋体" w:hAnsi="宋体" w:cs="Times New Roman"/>
          <w:color w:val="auto"/>
          <w:sz w:val="24"/>
          <w:szCs w:val="28"/>
          <w:highlight w:val="none"/>
          <w:lang w:val="en-US" w:eastAsia="zh-CN"/>
        </w:rPr>
        <w:t>5</w:t>
      </w:r>
      <w:r>
        <w:rPr>
          <w:rFonts w:hint="eastAsia" w:ascii="宋体" w:hAnsi="宋体" w:eastAsia="宋体" w:cs="Times New Roman"/>
          <w:color w:val="auto"/>
          <w:sz w:val="24"/>
          <w:szCs w:val="28"/>
          <w:highlight w:val="none"/>
          <w:lang w:val="en-US" w:eastAsia="zh-CN"/>
        </w:rPr>
        <w:t>-</w:t>
      </w:r>
      <w:r>
        <w:rPr>
          <w:rFonts w:hint="eastAsia" w:ascii="宋体" w:hAnsi="宋体" w:cs="Times New Roman"/>
          <w:color w:val="auto"/>
          <w:sz w:val="24"/>
          <w:szCs w:val="28"/>
          <w:highlight w:val="none"/>
          <w:lang w:val="en-US" w:eastAsia="zh-CN"/>
        </w:rPr>
        <w:t>27</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w:t>
      </w:r>
      <w:r>
        <w:rPr>
          <w:rFonts w:hint="eastAsia" w:ascii="宋体" w:hAnsi="宋体" w:eastAsia="宋体" w:cs="Times New Roman"/>
          <w:color w:val="auto"/>
          <w:sz w:val="24"/>
          <w:szCs w:val="28"/>
          <w:highlight w:val="none"/>
          <w:lang w:val="en-US" w:eastAsia="zh-CN"/>
        </w:rPr>
        <w:t>30（北京时间）</w:t>
      </w:r>
    </w:p>
    <w:p w14:paraId="681057DB">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点：江苏政府采购网-苏采云平台在线提交</w:t>
      </w:r>
    </w:p>
    <w:p w14:paraId="6186E2CB">
      <w:pPr>
        <w:pStyle w:val="189"/>
        <w:keepNext/>
        <w:keepLines/>
        <w:pageBreakBefore w:val="0"/>
        <w:widowControl w:val="0"/>
        <w:spacing w:before="157" w:after="10" w:line="360" w:lineRule="auto"/>
        <w:jc w:val="left"/>
        <w:rPr>
          <w:rFonts w:hint="eastAsia" w:ascii="宋体" w:hAnsi="宋体" w:eastAsia="宋体" w:cs="Times New Roman"/>
          <w:b/>
          <w:bCs/>
          <w:color w:val="auto"/>
          <w:highlight w:val="none"/>
        </w:rPr>
      </w:pPr>
      <w:bookmarkStart w:id="20" w:name="_Toc32414"/>
      <w:r>
        <w:rPr>
          <w:rFonts w:hint="eastAsia" w:ascii="宋体" w:hAnsi="宋体" w:eastAsia="宋体" w:cs="Times New Roman"/>
          <w:b/>
          <w:bCs/>
          <w:color w:val="auto"/>
          <w:highlight w:val="none"/>
        </w:rPr>
        <w:t>五、开启</w:t>
      </w:r>
      <w:bookmarkEnd w:id="20"/>
    </w:p>
    <w:p w14:paraId="4AB936FF">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间：</w:t>
      </w:r>
      <w:r>
        <w:rPr>
          <w:rFonts w:hint="eastAsia" w:ascii="宋体" w:hAnsi="宋体" w:cs="Times New Roman"/>
          <w:color w:val="auto"/>
          <w:sz w:val="24"/>
          <w:szCs w:val="28"/>
          <w:highlight w:val="none"/>
          <w:lang w:val="en-US" w:eastAsia="zh-CN"/>
        </w:rPr>
        <w:t>2026</w:t>
      </w:r>
      <w:r>
        <w:rPr>
          <w:rFonts w:hint="eastAsia" w:ascii="宋体" w:hAnsi="宋体" w:eastAsia="宋体" w:cs="Times New Roman"/>
          <w:color w:val="auto"/>
          <w:sz w:val="24"/>
          <w:szCs w:val="28"/>
          <w:highlight w:val="none"/>
          <w:lang w:val="en-US" w:eastAsia="zh-CN"/>
        </w:rPr>
        <w:t>-</w:t>
      </w:r>
      <w:r>
        <w:rPr>
          <w:rFonts w:hint="eastAsia" w:ascii="宋体" w:hAnsi="宋体" w:cs="Times New Roman"/>
          <w:color w:val="auto"/>
          <w:sz w:val="24"/>
          <w:szCs w:val="28"/>
          <w:highlight w:val="none"/>
          <w:lang w:val="en-US" w:eastAsia="zh-CN"/>
        </w:rPr>
        <w:t>5</w:t>
      </w:r>
      <w:r>
        <w:rPr>
          <w:rFonts w:hint="eastAsia" w:ascii="宋体" w:hAnsi="宋体" w:eastAsia="宋体" w:cs="Times New Roman"/>
          <w:color w:val="auto"/>
          <w:sz w:val="24"/>
          <w:szCs w:val="28"/>
          <w:highlight w:val="none"/>
          <w:lang w:val="en-US" w:eastAsia="zh-CN"/>
        </w:rPr>
        <w:t>-</w:t>
      </w:r>
      <w:r>
        <w:rPr>
          <w:rFonts w:hint="eastAsia" w:ascii="宋体" w:hAnsi="宋体" w:cs="Times New Roman"/>
          <w:color w:val="auto"/>
          <w:sz w:val="24"/>
          <w:szCs w:val="28"/>
          <w:highlight w:val="none"/>
          <w:lang w:val="en-US" w:eastAsia="zh-CN"/>
        </w:rPr>
        <w:t>27</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w:t>
      </w:r>
      <w:r>
        <w:rPr>
          <w:rFonts w:hint="eastAsia" w:ascii="宋体" w:hAnsi="宋体" w:eastAsia="宋体" w:cs="Times New Roman"/>
          <w:color w:val="auto"/>
          <w:sz w:val="24"/>
          <w:szCs w:val="28"/>
          <w:highlight w:val="none"/>
          <w:lang w:val="en-US" w:eastAsia="zh-CN"/>
        </w:rPr>
        <w:t>30（北京时间）</w:t>
      </w:r>
    </w:p>
    <w:p w14:paraId="1017B81E">
      <w:pPr>
        <w:keepNext w:val="0"/>
        <w:keepLines w:val="0"/>
        <w:pageBreakBefore w:val="0"/>
        <w:widowControl w:val="0"/>
        <w:spacing w:line="360" w:lineRule="auto"/>
        <w:ind w:firstLine="480"/>
        <w:rPr>
          <w:rFonts w:hint="default" w:ascii="宋体" w:hAnsi="宋体" w:eastAsia="宋体" w:cs="Times New Roman"/>
          <w:color w:val="auto"/>
          <w:sz w:val="24"/>
          <w:szCs w:val="28"/>
          <w:highlight w:val="none"/>
          <w:lang w:val="en-US"/>
        </w:rPr>
      </w:pPr>
      <w:r>
        <w:rPr>
          <w:rFonts w:hint="eastAsia" w:ascii="宋体" w:hAnsi="宋体" w:eastAsia="宋体" w:cs="Times New Roman"/>
          <w:color w:val="auto"/>
          <w:sz w:val="24"/>
          <w:szCs w:val="28"/>
          <w:highlight w:val="none"/>
          <w:lang w:val="en-US" w:eastAsia="zh-CN"/>
        </w:rPr>
        <w:t>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点：</w:t>
      </w:r>
      <w:r>
        <w:rPr>
          <w:rFonts w:hint="eastAsia" w:ascii="宋体" w:hAnsi="宋体" w:cs="Times New Roman"/>
          <w:color w:val="auto"/>
          <w:sz w:val="24"/>
          <w:szCs w:val="28"/>
          <w:highlight w:val="none"/>
          <w:lang w:val="en-US" w:eastAsia="zh-CN"/>
        </w:rPr>
        <w:t>见证室一</w:t>
      </w:r>
    </w:p>
    <w:p w14:paraId="299DEEF8">
      <w:pPr>
        <w:pStyle w:val="189"/>
        <w:keepNext/>
        <w:keepLines/>
        <w:pageBreakBefore w:val="0"/>
        <w:widowControl w:val="0"/>
        <w:spacing w:before="157" w:after="10" w:line="360" w:lineRule="auto"/>
        <w:jc w:val="left"/>
        <w:rPr>
          <w:rFonts w:hint="eastAsia" w:ascii="宋体" w:hAnsi="宋体" w:eastAsia="宋体" w:cs="Times New Roman"/>
          <w:b/>
          <w:bCs/>
          <w:color w:val="auto"/>
          <w:highlight w:val="none"/>
        </w:rPr>
      </w:pPr>
      <w:bookmarkStart w:id="21" w:name="_Toc24794"/>
      <w:r>
        <w:rPr>
          <w:rFonts w:hint="eastAsia" w:ascii="宋体" w:hAnsi="宋体" w:eastAsia="宋体" w:cs="Times New Roman"/>
          <w:b/>
          <w:bCs/>
          <w:color w:val="auto"/>
          <w:highlight w:val="none"/>
        </w:rPr>
        <w:t>六、公告期限</w:t>
      </w:r>
      <w:bookmarkEnd w:id="21"/>
    </w:p>
    <w:p w14:paraId="3ED551E7">
      <w:pPr>
        <w:keepNext w:val="0"/>
        <w:keepLines w:val="0"/>
        <w:pageBreakBefore w:val="0"/>
        <w:widowControl w:val="0"/>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自本公告发布之日起3个工作日。</w:t>
      </w:r>
    </w:p>
    <w:p w14:paraId="2941EA54">
      <w:pPr>
        <w:pStyle w:val="189"/>
        <w:keepNext/>
        <w:keepLines/>
        <w:pageBreakBefore w:val="0"/>
        <w:widowControl w:val="0"/>
        <w:spacing w:before="157" w:after="10" w:line="360" w:lineRule="auto"/>
        <w:jc w:val="left"/>
        <w:rPr>
          <w:rFonts w:hint="eastAsia" w:ascii="宋体" w:hAnsi="宋体" w:eastAsia="宋体" w:cs="Times New Roman"/>
          <w:b/>
          <w:bCs/>
          <w:color w:val="auto"/>
          <w:highlight w:val="none"/>
        </w:rPr>
      </w:pPr>
      <w:bookmarkStart w:id="22" w:name="_Toc73364850"/>
      <w:bookmarkStart w:id="23" w:name="_Toc18482"/>
      <w:bookmarkStart w:id="24" w:name="_Toc73365463"/>
      <w:r>
        <w:rPr>
          <w:rFonts w:hint="eastAsia" w:ascii="宋体" w:hAnsi="宋体" w:eastAsia="宋体" w:cs="Times New Roman"/>
          <w:b/>
          <w:bCs/>
          <w:color w:val="auto"/>
          <w:highlight w:val="none"/>
          <w:lang w:eastAsia="zh-CN"/>
        </w:rPr>
        <w:t>七</w:t>
      </w:r>
      <w:r>
        <w:rPr>
          <w:rFonts w:hint="eastAsia" w:ascii="宋体" w:hAnsi="宋体" w:eastAsia="宋体" w:cs="Times New Roman"/>
          <w:b/>
          <w:bCs/>
          <w:color w:val="auto"/>
          <w:highlight w:val="none"/>
        </w:rPr>
        <w:t>、其他补充事宜</w:t>
      </w:r>
      <w:bookmarkEnd w:id="22"/>
      <w:bookmarkEnd w:id="23"/>
      <w:bookmarkEnd w:id="24"/>
    </w:p>
    <w:p w14:paraId="0E71CC1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（一）采购文件获取的具体方式</w:t>
      </w:r>
    </w:p>
    <w:p w14:paraId="3740EDE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ascii="宋体" w:hAnsi="宋体" w:eastAsia="宋体" w:cs="宋体"/>
          <w:color w:val="auto"/>
          <w:sz w:val="24"/>
          <w:highlight w:val="none"/>
        </w:rPr>
        <w:t>潜在投标人访问电子招标投标交易平台的网络地址和方法：</w:t>
      </w:r>
    </w:p>
    <w:p w14:paraId="40C3B5E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（1）</w:t>
      </w:r>
      <w:r>
        <w:rPr>
          <w:rFonts w:hint="eastAsia" w:ascii="宋体" w:hAnsi="宋体" w:cs="宋体"/>
          <w:color w:val="auto"/>
          <w:sz w:val="24"/>
          <w:highlight w:val="none"/>
          <w:lang w:eastAsia="zh-CN"/>
        </w:rPr>
        <w:t>进入江苏政府采购网首页</w:t>
      </w:r>
      <w:r>
        <w:rPr>
          <w:rFonts w:ascii="宋体" w:hAnsi="宋体" w:eastAsia="宋体" w:cs="宋体"/>
          <w:color w:val="auto"/>
          <w:sz w:val="24"/>
          <w:highlight w:val="none"/>
        </w:rPr>
        <w:t>点击“苏采云”进入系统。</w:t>
      </w:r>
    </w:p>
    <w:p w14:paraId="7B81EB1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（2）获取招标文件的方式：“苏采云”系统用户注册--获取“CA数字证书”--CA绑定与登录--网上报名--下载招标文件(后缀名为.kedt”)。</w:t>
      </w:r>
    </w:p>
    <w:p w14:paraId="2FF494D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ascii="宋体" w:hAnsi="宋体" w:eastAsia="宋体" w:cs="宋体"/>
          <w:color w:val="auto"/>
          <w:sz w:val="24"/>
          <w:highlight w:val="none"/>
        </w:rPr>
        <w:t>“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p>
    <w:p w14:paraId="4E38AC6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ascii="宋体" w:hAnsi="宋体" w:eastAsia="宋体" w:cs="宋体"/>
          <w:color w:val="auto"/>
          <w:sz w:val="24"/>
          <w:highlight w:val="none"/>
        </w:rPr>
        <w:t>招标文件(后缀名为“.kedt”)、供应商操作手册及政府采购客户端工具可通过“苏采云”系统--已报名项目--报名详情页面内相应链接进行下载；供应商操作手册及政府采购客户端工具。</w:t>
      </w:r>
    </w:p>
    <w:p w14:paraId="382CC32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ascii="宋体" w:hAnsi="宋体" w:eastAsia="宋体" w:cs="宋体"/>
          <w:color w:val="auto"/>
          <w:sz w:val="24"/>
          <w:highlight w:val="none"/>
        </w:rPr>
        <w:t>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p>
    <w:p w14:paraId="036CE39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（二）投标响应文件递交方式及不见面交易相关注意事项</w:t>
      </w:r>
    </w:p>
    <w:p w14:paraId="19508FA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ascii="宋体" w:hAnsi="宋体" w:eastAsia="宋体" w:cs="宋体"/>
          <w:color w:val="auto"/>
          <w:sz w:val="24"/>
          <w:highlight w:val="none"/>
        </w:rPr>
        <w:t>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p>
    <w:p w14:paraId="534C4DD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ascii="宋体" w:hAnsi="宋体" w:eastAsia="宋体" w:cs="宋体"/>
          <w:color w:val="auto"/>
          <w:sz w:val="24"/>
          <w:highlight w:val="none"/>
        </w:rPr>
        <w:t>开标地点：“苏采云”系统（网址：http</w:t>
      </w:r>
      <w:r>
        <w:rPr>
          <w:rFonts w:hint="eastAsia" w:ascii="宋体" w:hAnsi="宋体" w:cs="宋体"/>
          <w:color w:val="auto"/>
          <w:sz w:val="24"/>
          <w:highlight w:val="none"/>
          <w:lang w:eastAsia="zh-CN"/>
        </w:rPr>
        <w:t>：</w:t>
      </w:r>
      <w:r>
        <w:rPr>
          <w:rFonts w:ascii="宋体" w:hAnsi="宋体" w:eastAsia="宋体" w:cs="宋体"/>
          <w:color w:val="auto"/>
          <w:sz w:val="24"/>
          <w:highlight w:val="none"/>
        </w:rPr>
        <w:t>//jszfcg.jsczt.cn/）“开标大厅”进入系统“开标大厅”。（苏采云系统使用稳定谷歌浏览器（100版本以下）或360安全浏览器（极速模式）参与不见面开标。）</w:t>
      </w:r>
    </w:p>
    <w:p w14:paraId="2094125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ascii="宋体" w:hAnsi="宋体" w:eastAsia="宋体" w:cs="宋体"/>
          <w:color w:val="auto"/>
          <w:sz w:val="24"/>
          <w:highlight w:val="none"/>
        </w:rPr>
        <w:t>本项目采用远程不见面交易模式，通过不见面交易系统及相应的配套硬件设备（摄像头、话筒、麦克风等）完成远程解密、开标现场异议及回复、开标唱标等交互环节。</w:t>
      </w:r>
    </w:p>
    <w:p w14:paraId="5CE50B2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ascii="宋体" w:hAnsi="宋体" w:eastAsia="宋体" w:cs="宋体"/>
          <w:color w:val="auto"/>
          <w:sz w:val="24"/>
          <w:highlight w:val="none"/>
        </w:rPr>
        <w:t>不见面交易相关要求和说明如下：</w:t>
      </w:r>
    </w:p>
    <w:p w14:paraId="28431B2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（1）不见面开标项目的时间均以国家授时中心发布的时间为准；</w:t>
      </w:r>
    </w:p>
    <w:p w14:paraId="313848F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（2）开标当日，投标人不必抵达开标现场，仅需在任意地点通过“苏采云”系统（网址：http</w:t>
      </w:r>
      <w:r>
        <w:rPr>
          <w:rFonts w:hint="eastAsia" w:ascii="宋体" w:hAnsi="宋体" w:cs="宋体"/>
          <w:color w:val="auto"/>
          <w:sz w:val="24"/>
          <w:highlight w:val="none"/>
          <w:lang w:eastAsia="zh-CN"/>
        </w:rPr>
        <w:t>：</w:t>
      </w:r>
      <w:r>
        <w:rPr>
          <w:rFonts w:ascii="宋体" w:hAnsi="宋体" w:eastAsia="宋体" w:cs="宋体"/>
          <w:color w:val="auto"/>
          <w:sz w:val="24"/>
          <w:highlight w:val="none"/>
        </w:rPr>
        <w:t>//jszfcg.jsczt.cn/）“开标大厅”进入系统“开标大厅”参与开标过程；</w:t>
      </w:r>
    </w:p>
    <w:p w14:paraId="705BC02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14:paraId="1A31680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36BE4E9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（5）因投标人自身软硬件配备不齐全或发生故障等问题而导致在交互过程中出现不稳定或中断等情况的，由投标人自身承担一切后果。</w:t>
      </w:r>
    </w:p>
    <w:p w14:paraId="4CF6A8F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（三）其他注意事项</w:t>
      </w:r>
    </w:p>
    <w:p w14:paraId="31C8C3A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cs="宋体"/>
          <w:color w:val="auto"/>
          <w:sz w:val="24"/>
          <w:highlight w:val="none"/>
        </w:rPr>
      </w:pPr>
      <w:r>
        <w:rPr>
          <w:rFonts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采购人不统一组织现场查勘，供应商可自行联系采购人联系查勘。</w:t>
      </w:r>
    </w:p>
    <w:p w14:paraId="5CB405A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2.本项目无需投标供应商缴纳投标保证金。</w:t>
      </w:r>
    </w:p>
    <w:p w14:paraId="489429C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3.本项目支持和适用节能环保产品（财库〔2019〕9号）、（财库〔2019〕19号）、（财库〔2019〕18号）；支持中小微企业（财库〔2020〕46号）、（苏财购〔2020〕52号）、（工信部联企业〔2011〕300号）；支持监狱企业（财库〔2014〕68号）；促进残疾人就业（财库〔2017〕141号）等政策。</w:t>
      </w:r>
    </w:p>
    <w:p w14:paraId="7E734F9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4.供应商对采购文件有异议的，可以在收到采购文件之日（或采购文件公告期届满之日）起七个工作日内，按采购文件的要求以书面形式向我方质疑，逾期将不再受理。</w:t>
      </w:r>
    </w:p>
    <w:p w14:paraId="0EEA112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hint="eastAsia" w:ascii="宋体" w:hAnsi="宋体" w:cs="宋体"/>
          <w:color w:val="auto"/>
          <w:sz w:val="24"/>
          <w:highlight w:val="none"/>
          <w:lang w:val="en-US" w:eastAsia="zh-CN"/>
        </w:rPr>
        <w:t>5.在投标截止前，请关注江苏省政府采购网站有无澄清公告，澄清或者修改的内容为本招标文件的组成部分</w:t>
      </w:r>
      <w:r>
        <w:rPr>
          <w:rFonts w:ascii="宋体" w:hAnsi="宋体" w:eastAsia="宋体" w:cs="宋体"/>
          <w:color w:val="auto"/>
          <w:sz w:val="24"/>
          <w:highlight w:val="none"/>
        </w:rPr>
        <w:t>。</w:t>
      </w:r>
    </w:p>
    <w:p w14:paraId="06E6D04B">
      <w:pPr>
        <w:pStyle w:val="189"/>
        <w:keepNext/>
        <w:keepLines/>
        <w:pageBreakBefore w:val="0"/>
        <w:widowControl w:val="0"/>
        <w:spacing w:before="157" w:after="10" w:line="360" w:lineRule="auto"/>
        <w:jc w:val="left"/>
        <w:rPr>
          <w:rFonts w:hint="eastAsia" w:ascii="宋体" w:hAnsi="宋体" w:eastAsia="宋体" w:cs="Times New Roman"/>
          <w:b/>
          <w:bCs/>
          <w:color w:val="auto"/>
          <w:highlight w:val="none"/>
        </w:rPr>
      </w:pPr>
      <w:bookmarkStart w:id="25" w:name="_Toc73365464"/>
      <w:bookmarkStart w:id="26" w:name="_Toc73364851"/>
      <w:bookmarkStart w:id="27" w:name="_Toc2804"/>
      <w:r>
        <w:rPr>
          <w:rFonts w:hint="eastAsia" w:ascii="宋体" w:hAnsi="宋体" w:eastAsia="宋体" w:cs="Times New Roman"/>
          <w:b/>
          <w:bCs/>
          <w:color w:val="auto"/>
          <w:highlight w:val="none"/>
          <w:lang w:eastAsia="zh-CN"/>
        </w:rPr>
        <w:t>八</w:t>
      </w:r>
      <w:r>
        <w:rPr>
          <w:rFonts w:hint="eastAsia" w:ascii="宋体" w:hAnsi="宋体" w:eastAsia="宋体" w:cs="Times New Roman"/>
          <w:b/>
          <w:bCs/>
          <w:color w:val="auto"/>
          <w:highlight w:val="none"/>
        </w:rPr>
        <w:t>、对本次</w:t>
      </w:r>
      <w:r>
        <w:rPr>
          <w:rFonts w:hint="eastAsia" w:ascii="宋体" w:hAnsi="宋体" w:eastAsia="宋体" w:cs="Times New Roman"/>
          <w:b/>
          <w:bCs/>
          <w:color w:val="auto"/>
          <w:highlight w:val="none"/>
          <w:lang w:eastAsia="zh-CN"/>
        </w:rPr>
        <w:t>采购</w:t>
      </w:r>
      <w:r>
        <w:rPr>
          <w:rFonts w:hint="eastAsia" w:ascii="宋体" w:hAnsi="宋体" w:eastAsia="宋体" w:cs="Times New Roman"/>
          <w:b/>
          <w:bCs/>
          <w:color w:val="auto"/>
          <w:highlight w:val="none"/>
        </w:rPr>
        <w:t>提出询问，请按以下方式联系。</w:t>
      </w:r>
      <w:bookmarkEnd w:id="25"/>
      <w:bookmarkEnd w:id="26"/>
      <w:bookmarkEnd w:id="27"/>
    </w:p>
    <w:p w14:paraId="1A654019">
      <w:pPr>
        <w:keepNext w:val="0"/>
        <w:keepLines w:val="0"/>
        <w:pageBreakBefore w:val="0"/>
        <w:widowControl/>
        <w:spacing w:line="360" w:lineRule="auto"/>
        <w:ind w:firstLine="480"/>
        <w:rPr>
          <w:rFonts w:ascii="宋体" w:hAnsi="宋体"/>
          <w:color w:val="auto"/>
          <w:sz w:val="24"/>
          <w:szCs w:val="28"/>
          <w:highlight w:val="none"/>
        </w:rPr>
      </w:pPr>
      <w:r>
        <w:rPr>
          <w:rFonts w:hint="eastAsia" w:ascii="宋体" w:hAnsi="宋体" w:cs="宋体"/>
          <w:color w:val="auto"/>
          <w:sz w:val="24"/>
          <w:szCs w:val="28"/>
          <w:highlight w:val="none"/>
        </w:rPr>
        <w:t>1.采购人信息</w:t>
      </w:r>
    </w:p>
    <w:p w14:paraId="7740BAEC">
      <w:pPr>
        <w:keepNext w:val="0"/>
        <w:keepLines w:val="0"/>
        <w:pageBreakBefore w:val="0"/>
        <w:widowControl/>
        <w:spacing w:line="360" w:lineRule="auto"/>
        <w:ind w:firstLine="480"/>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称：</w:t>
      </w:r>
      <w:r>
        <w:rPr>
          <w:rFonts w:hint="eastAsia" w:ascii="宋体" w:hAnsi="宋体" w:cs="宋体"/>
          <w:color w:val="auto"/>
          <w:sz w:val="24"/>
          <w:szCs w:val="28"/>
          <w:highlight w:val="none"/>
          <w:lang w:eastAsia="zh-CN"/>
        </w:rPr>
        <w:t>丹阳市正则高级中学</w:t>
      </w:r>
    </w:p>
    <w:p w14:paraId="258C1409">
      <w:pPr>
        <w:keepNext w:val="0"/>
        <w:keepLines w:val="0"/>
        <w:pageBreakBefore w:val="0"/>
        <w:widowControl/>
        <w:spacing w:line="360" w:lineRule="auto"/>
        <w:ind w:firstLine="480"/>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址：</w:t>
      </w:r>
      <w:r>
        <w:rPr>
          <w:rFonts w:hint="eastAsia" w:ascii="宋体" w:hAnsi="宋体" w:cs="宋体"/>
          <w:color w:val="auto"/>
          <w:sz w:val="24"/>
          <w:szCs w:val="28"/>
          <w:highlight w:val="none"/>
          <w:lang w:eastAsia="zh-CN"/>
        </w:rPr>
        <w:t>丹阳市西门外镇丹路1号</w:t>
      </w:r>
    </w:p>
    <w:p w14:paraId="7F74E5EF">
      <w:pPr>
        <w:keepNext w:val="0"/>
        <w:keepLines w:val="0"/>
        <w:pageBreakBefore w:val="0"/>
        <w:widowControl/>
        <w:spacing w:line="360" w:lineRule="auto"/>
        <w:ind w:firstLine="480"/>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人：眭炜</w:t>
      </w:r>
    </w:p>
    <w:p w14:paraId="3F149F53">
      <w:pPr>
        <w:keepNext w:val="0"/>
        <w:keepLines w:val="0"/>
        <w:pageBreakBefore w:val="0"/>
        <w:widowControl/>
        <w:spacing w:line="360" w:lineRule="auto"/>
        <w:ind w:firstLine="480"/>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联系方式：</w:t>
      </w:r>
      <w:r>
        <w:rPr>
          <w:rFonts w:hint="eastAsia" w:ascii="宋体" w:hAnsi="宋体" w:cs="宋体"/>
          <w:color w:val="auto"/>
          <w:sz w:val="24"/>
          <w:szCs w:val="28"/>
          <w:highlight w:val="none"/>
          <w:lang w:val="en-US" w:eastAsia="zh-CN"/>
        </w:rPr>
        <w:t>0511-86906880</w:t>
      </w:r>
    </w:p>
    <w:p w14:paraId="2FEB95D7">
      <w:pPr>
        <w:keepNext w:val="0"/>
        <w:keepLines w:val="0"/>
        <w:pageBreakBefore w:val="0"/>
        <w:widowControl/>
        <w:spacing w:line="360" w:lineRule="auto"/>
        <w:ind w:firstLine="480"/>
        <w:rPr>
          <w:rFonts w:ascii="宋体" w:hAnsi="宋体"/>
          <w:color w:val="auto"/>
          <w:sz w:val="24"/>
          <w:szCs w:val="28"/>
          <w:highlight w:val="none"/>
        </w:rPr>
      </w:pPr>
      <w:r>
        <w:rPr>
          <w:rFonts w:hint="eastAsia" w:ascii="宋体" w:hAnsi="宋体" w:cs="宋体"/>
          <w:color w:val="auto"/>
          <w:sz w:val="24"/>
          <w:szCs w:val="28"/>
          <w:highlight w:val="none"/>
        </w:rPr>
        <w:t>2.采购代理机构信息</w:t>
      </w:r>
    </w:p>
    <w:p w14:paraId="7BABB054">
      <w:pPr>
        <w:keepNext w:val="0"/>
        <w:keepLines w:val="0"/>
        <w:pageBreakBefore w:val="0"/>
        <w:widowControl/>
        <w:spacing w:line="360" w:lineRule="auto"/>
        <w:ind w:firstLine="480"/>
        <w:rPr>
          <w:rFonts w:hint="eastAsia" w:ascii="宋体" w:hAnsi="宋体" w:eastAsia="宋体"/>
          <w:color w:val="auto"/>
          <w:sz w:val="24"/>
          <w:szCs w:val="28"/>
          <w:highlight w:val="none"/>
        </w:rPr>
      </w:pPr>
      <w:r>
        <w:rPr>
          <w:rFonts w:hint="eastAsia" w:ascii="宋体" w:hAnsi="宋体"/>
          <w:color w:val="auto"/>
          <w:sz w:val="24"/>
          <w:szCs w:val="28"/>
          <w:highlight w:val="none"/>
        </w:rPr>
        <w:t>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p>
    <w:p w14:paraId="72D2E763">
      <w:pPr>
        <w:keepNext w:val="0"/>
        <w:keepLines w:val="0"/>
        <w:pageBreakBefore w:val="0"/>
        <w:widowControl/>
        <w:spacing w:line="360" w:lineRule="auto"/>
        <w:ind w:firstLine="480"/>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址：</w:t>
      </w:r>
      <w:r>
        <w:rPr>
          <w:rFonts w:hint="eastAsia" w:ascii="宋体" w:hAnsi="宋体"/>
          <w:color w:val="auto"/>
          <w:sz w:val="24"/>
          <w:szCs w:val="28"/>
          <w:highlight w:val="none"/>
          <w:lang w:eastAsia="zh-CN"/>
        </w:rPr>
        <w:t>丹阳市开发区兰陵路</w:t>
      </w:r>
      <w:r>
        <w:rPr>
          <w:rFonts w:hint="eastAsia" w:ascii="宋体" w:hAnsi="宋体"/>
          <w:color w:val="auto"/>
          <w:sz w:val="24"/>
          <w:szCs w:val="28"/>
          <w:highlight w:val="none"/>
          <w:lang w:val="en-US" w:eastAsia="zh-CN"/>
        </w:rPr>
        <w:t>77号</w:t>
      </w:r>
    </w:p>
    <w:p w14:paraId="10B84D87">
      <w:pPr>
        <w:keepNext w:val="0"/>
        <w:keepLines w:val="0"/>
        <w:pageBreakBefore w:val="0"/>
        <w:widowControl/>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联系方式：</w:t>
      </w:r>
      <w:r>
        <w:rPr>
          <w:rFonts w:hint="eastAsia" w:ascii="宋体" w:hAnsi="宋体"/>
          <w:color w:val="auto"/>
          <w:sz w:val="24"/>
          <w:szCs w:val="28"/>
          <w:highlight w:val="none"/>
          <w:lang w:eastAsia="zh-CN"/>
        </w:rPr>
        <w:t>0511-86531589</w:t>
      </w:r>
    </w:p>
    <w:p w14:paraId="78B0BE04">
      <w:pPr>
        <w:keepNext w:val="0"/>
        <w:keepLines w:val="0"/>
        <w:pageBreakBefore w:val="0"/>
        <w:widowControl/>
        <w:spacing w:line="360" w:lineRule="auto"/>
        <w:ind w:firstLine="480"/>
        <w:rPr>
          <w:rFonts w:ascii="宋体" w:hAnsi="宋体"/>
          <w:color w:val="auto"/>
          <w:sz w:val="24"/>
          <w:szCs w:val="28"/>
          <w:highlight w:val="none"/>
        </w:rPr>
      </w:pPr>
      <w:r>
        <w:rPr>
          <w:rFonts w:hint="eastAsia" w:ascii="宋体" w:hAnsi="宋体" w:cs="宋体"/>
          <w:color w:val="auto"/>
          <w:sz w:val="24"/>
          <w:szCs w:val="28"/>
          <w:highlight w:val="none"/>
        </w:rPr>
        <w:t>3.项目联系方式</w:t>
      </w:r>
    </w:p>
    <w:p w14:paraId="1D47E9C0">
      <w:pPr>
        <w:keepNext w:val="0"/>
        <w:keepLines w:val="0"/>
        <w:pageBreakBefore w:val="0"/>
        <w:widowControl/>
        <w:spacing w:line="360" w:lineRule="auto"/>
        <w:ind w:firstLine="480"/>
        <w:rPr>
          <w:rFonts w:hint="eastAsia" w:ascii="宋体" w:hAnsi="宋体" w:eastAsia="宋体"/>
          <w:color w:val="auto"/>
          <w:sz w:val="24"/>
          <w:szCs w:val="28"/>
          <w:highlight w:val="none"/>
        </w:rPr>
      </w:pPr>
      <w:r>
        <w:rPr>
          <w:rFonts w:hint="eastAsia" w:ascii="宋体" w:hAnsi="宋体"/>
          <w:color w:val="auto"/>
          <w:sz w:val="24"/>
          <w:szCs w:val="28"/>
          <w:highlight w:val="none"/>
        </w:rPr>
        <w:t>项目联系人：</w:t>
      </w:r>
      <w:r>
        <w:rPr>
          <w:rFonts w:hint="eastAsia" w:ascii="宋体" w:hAnsi="宋体"/>
          <w:color w:val="auto"/>
          <w:sz w:val="24"/>
          <w:szCs w:val="28"/>
          <w:highlight w:val="none"/>
          <w:lang w:eastAsia="zh-CN"/>
        </w:rPr>
        <w:t>宋江辉</w:t>
      </w:r>
    </w:p>
    <w:p w14:paraId="703CC3F9">
      <w:pPr>
        <w:keepNext w:val="0"/>
        <w:keepLines w:val="0"/>
        <w:pageBreakBefore w:val="0"/>
        <w:widowControl/>
        <w:spacing w:line="360" w:lineRule="auto"/>
        <w:ind w:firstLine="480"/>
        <w:rPr>
          <w:color w:val="auto"/>
          <w:highlight w:val="none"/>
        </w:rPr>
      </w:pPr>
      <w:r>
        <w:rPr>
          <w:rFonts w:hint="eastAsia" w:ascii="宋体" w:hAnsi="宋体"/>
          <w:color w:val="auto"/>
          <w:sz w:val="24"/>
          <w:szCs w:val="28"/>
          <w:highlight w:val="none"/>
        </w:rPr>
        <w:t>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话：</w:t>
      </w:r>
      <w:bookmarkStart w:id="28" w:name="EB73e9be25c0ef4b619196367b2047b8bc"/>
      <w:r>
        <w:rPr>
          <w:rFonts w:hint="eastAsia" w:ascii="宋体" w:hAnsi="宋体"/>
          <w:color w:val="auto"/>
          <w:sz w:val="24"/>
          <w:szCs w:val="28"/>
          <w:highlight w:val="none"/>
          <w:lang w:eastAsia="zh-CN"/>
        </w:rPr>
        <w:t>0511-86531589</w:t>
      </w:r>
      <w:r>
        <w:rPr>
          <w:rFonts w:hint="eastAsia"/>
          <w:color w:val="auto"/>
          <w:sz w:val="20"/>
          <w:highlight w:val="none"/>
        </w:rPr>
        <w:t xml:space="preserve"> </w:t>
      </w:r>
      <w:bookmarkEnd w:id="28"/>
    </w:p>
    <w:p w14:paraId="09077FB8">
      <w:pPr>
        <w:widowControl/>
        <w:ind w:right="360"/>
        <w:jc w:val="both"/>
        <w:rPr>
          <w:rFonts w:ascii="宋体" w:hAnsi="宋体"/>
          <w:color w:val="auto"/>
          <w:sz w:val="24"/>
          <w:highlight w:val="none"/>
        </w:rPr>
      </w:pPr>
    </w:p>
    <w:p w14:paraId="167DD577">
      <w:pPr>
        <w:pStyle w:val="188"/>
        <w:jc w:val="center"/>
        <w:rPr>
          <w:color w:val="auto"/>
          <w:highlight w:val="none"/>
        </w:rPr>
      </w:pPr>
      <w:bookmarkStart w:id="29" w:name="_Toc73365466"/>
      <w:bookmarkStart w:id="30" w:name="_Toc73364853"/>
      <w:r>
        <w:rPr>
          <w:rFonts w:hint="eastAsia" w:ascii="宋体" w:hAnsi="宋体"/>
          <w:color w:val="auto"/>
          <w:sz w:val="36"/>
          <w:highlight w:val="none"/>
        </w:rPr>
        <w:br w:type="page" w:clear="all"/>
      </w:r>
      <w:bookmarkStart w:id="31" w:name="_Toc12155"/>
      <w:r>
        <w:rPr>
          <w:rFonts w:hint="eastAsia" w:ascii="宋体" w:hAnsi="宋体"/>
          <w:color w:val="auto"/>
          <w:sz w:val="36"/>
          <w:highlight w:val="none"/>
        </w:rPr>
        <w:t>第二部分  供应商须知</w:t>
      </w:r>
      <w:bookmarkEnd w:id="29"/>
      <w:bookmarkEnd w:id="30"/>
      <w:bookmarkEnd w:id="31"/>
    </w:p>
    <w:p w14:paraId="0C3CFD6A">
      <w:pPr>
        <w:pStyle w:val="189"/>
        <w:rPr>
          <w:rFonts w:ascii="宋体" w:hAnsi="宋体" w:eastAsia="宋体"/>
          <w:color w:val="auto"/>
          <w:sz w:val="32"/>
          <w:highlight w:val="none"/>
        </w:rPr>
      </w:pPr>
      <w:bookmarkStart w:id="32" w:name="_Toc73364854"/>
      <w:bookmarkStart w:id="33" w:name="_Toc13811"/>
      <w:bookmarkStart w:id="34" w:name="_Toc73365467"/>
      <w:r>
        <w:rPr>
          <w:rFonts w:hint="eastAsia" w:ascii="宋体" w:hAnsi="宋体" w:eastAsia="宋体"/>
          <w:color w:val="auto"/>
          <w:sz w:val="32"/>
          <w:highlight w:val="none"/>
        </w:rPr>
        <w:t>一、总  则</w:t>
      </w:r>
      <w:bookmarkEnd w:id="32"/>
      <w:bookmarkEnd w:id="33"/>
      <w:bookmarkEnd w:id="34"/>
    </w:p>
    <w:p w14:paraId="78706EA7">
      <w:pPr>
        <w:pStyle w:val="190"/>
        <w:keepNext w:val="0"/>
        <w:keepLines w:val="0"/>
        <w:spacing w:before="0" w:after="0" w:line="360" w:lineRule="auto"/>
        <w:ind w:firstLine="446"/>
        <w:rPr>
          <w:rFonts w:ascii="宋体" w:hAnsi="宋体"/>
          <w:color w:val="auto"/>
          <w:sz w:val="30"/>
          <w:highlight w:val="none"/>
        </w:rPr>
      </w:pPr>
      <w:bookmarkStart w:id="35" w:name="_Toc23412"/>
      <w:bookmarkStart w:id="36" w:name="_Toc73364855"/>
      <w:bookmarkStart w:id="37" w:name="_Toc24107"/>
      <w:bookmarkStart w:id="38" w:name="_Toc73365468"/>
      <w:bookmarkStart w:id="39" w:name="_Toc9366"/>
      <w:bookmarkStart w:id="40" w:name="_Toc22294"/>
      <w:r>
        <w:rPr>
          <w:rFonts w:hint="eastAsia" w:ascii="宋体" w:hAnsi="宋体"/>
          <w:color w:val="auto"/>
          <w:sz w:val="30"/>
          <w:highlight w:val="none"/>
        </w:rPr>
        <w:t>1．适用范围</w:t>
      </w:r>
      <w:bookmarkEnd w:id="35"/>
      <w:bookmarkEnd w:id="36"/>
      <w:bookmarkEnd w:id="37"/>
      <w:bookmarkEnd w:id="38"/>
      <w:bookmarkEnd w:id="39"/>
      <w:bookmarkEnd w:id="40"/>
    </w:p>
    <w:p w14:paraId="380C362D">
      <w:pPr>
        <w:spacing w:line="360" w:lineRule="auto"/>
        <w:ind w:firstLine="480"/>
        <w:rPr>
          <w:rFonts w:ascii="宋体" w:hAnsi="宋体"/>
          <w:color w:val="auto"/>
          <w:sz w:val="24"/>
          <w:highlight w:val="none"/>
        </w:rPr>
      </w:pPr>
      <w:r>
        <w:rPr>
          <w:rFonts w:hint="eastAsia" w:ascii="宋体" w:hAnsi="宋体"/>
          <w:color w:val="auto"/>
          <w:sz w:val="24"/>
          <w:highlight w:val="none"/>
        </w:rPr>
        <w:t>1.1本磋商文件仅适用于</w:t>
      </w:r>
      <w:r>
        <w:rPr>
          <w:rFonts w:hint="eastAsia" w:ascii="宋体" w:hAnsi="宋体"/>
          <w:color w:val="auto"/>
          <w:sz w:val="24"/>
          <w:highlight w:val="none"/>
          <w:lang w:eastAsia="zh-CN"/>
        </w:rPr>
        <w:t>丹阳市正则高级中学宿舍修缮出新项目</w:t>
      </w:r>
      <w:r>
        <w:rPr>
          <w:rFonts w:hint="eastAsia" w:ascii="宋体" w:hAnsi="宋体" w:cs="隶书"/>
          <w:color w:val="auto"/>
          <w:sz w:val="24"/>
          <w:highlight w:val="none"/>
        </w:rPr>
        <w:t>。</w:t>
      </w:r>
    </w:p>
    <w:p w14:paraId="2A38D1A9">
      <w:pPr>
        <w:pStyle w:val="190"/>
        <w:keepNext w:val="0"/>
        <w:keepLines w:val="0"/>
        <w:spacing w:before="200" w:after="200" w:line="360" w:lineRule="auto"/>
        <w:ind w:firstLine="446"/>
        <w:rPr>
          <w:rFonts w:ascii="宋体" w:hAnsi="宋体"/>
          <w:color w:val="auto"/>
          <w:sz w:val="30"/>
          <w:highlight w:val="none"/>
        </w:rPr>
      </w:pPr>
      <w:bookmarkStart w:id="41" w:name="_Toc23826"/>
      <w:bookmarkStart w:id="42" w:name="_Toc73365469"/>
      <w:bookmarkStart w:id="43" w:name="_Toc73364856"/>
      <w:bookmarkStart w:id="44" w:name="_Toc3411"/>
      <w:bookmarkStart w:id="45" w:name="_Toc25596"/>
      <w:bookmarkStart w:id="46" w:name="_Toc6341"/>
      <w:r>
        <w:rPr>
          <w:rFonts w:hint="eastAsia" w:ascii="宋体" w:hAnsi="宋体"/>
          <w:color w:val="auto"/>
          <w:sz w:val="30"/>
          <w:highlight w:val="none"/>
        </w:rPr>
        <w:t>2．定义</w:t>
      </w:r>
      <w:bookmarkEnd w:id="41"/>
      <w:bookmarkEnd w:id="42"/>
      <w:bookmarkEnd w:id="43"/>
      <w:bookmarkEnd w:id="44"/>
      <w:bookmarkEnd w:id="45"/>
      <w:bookmarkEnd w:id="46"/>
    </w:p>
    <w:p w14:paraId="059CADF4">
      <w:pPr>
        <w:keepNext w:val="0"/>
        <w:keepLines w:val="0"/>
        <w:pageBreakBefore w:val="0"/>
        <w:widowControl w:val="0"/>
        <w:spacing w:line="360" w:lineRule="auto"/>
        <w:ind w:firstLine="480"/>
        <w:jc w:val="left"/>
        <w:rPr>
          <w:rFonts w:ascii="宋体" w:hAnsi="宋体"/>
          <w:color w:val="auto"/>
          <w:sz w:val="24"/>
          <w:highlight w:val="none"/>
        </w:rPr>
      </w:pPr>
      <w:r>
        <w:rPr>
          <w:rFonts w:hint="eastAsia" w:ascii="宋体" w:hAnsi="宋体"/>
          <w:color w:val="auto"/>
          <w:sz w:val="24"/>
          <w:highlight w:val="none"/>
        </w:rPr>
        <w:t>磋商文件中下列术语应解释为：</w:t>
      </w:r>
    </w:p>
    <w:p w14:paraId="034D425B">
      <w:pPr>
        <w:keepNext w:val="0"/>
        <w:keepLines w:val="0"/>
        <w:pageBreakBefore w:val="0"/>
        <w:widowControl w:val="0"/>
        <w:spacing w:line="360" w:lineRule="auto"/>
        <w:ind w:firstLine="480"/>
        <w:jc w:val="left"/>
        <w:rPr>
          <w:rFonts w:ascii="宋体" w:hAnsi="宋体"/>
          <w:color w:val="auto"/>
          <w:sz w:val="24"/>
          <w:highlight w:val="none"/>
        </w:rPr>
      </w:pPr>
      <w:r>
        <w:rPr>
          <w:rFonts w:hint="eastAsia" w:ascii="宋体" w:hAnsi="宋体"/>
          <w:color w:val="auto"/>
          <w:sz w:val="24"/>
          <w:highlight w:val="none"/>
        </w:rPr>
        <w:t>2.1“磋商组织方”系指采购代理机构或采购单位，即：</w:t>
      </w:r>
      <w:r>
        <w:rPr>
          <w:rFonts w:hint="eastAsia" w:ascii="宋体" w:hAnsi="宋体"/>
          <w:color w:val="auto"/>
          <w:sz w:val="24"/>
          <w:highlight w:val="none"/>
          <w:lang w:eastAsia="zh-CN"/>
        </w:rPr>
        <w:t>江苏万信项目管理有限公司</w:t>
      </w:r>
      <w:r>
        <w:rPr>
          <w:rFonts w:hint="eastAsia" w:ascii="宋体" w:hAnsi="宋体"/>
          <w:color w:val="auto"/>
          <w:sz w:val="24"/>
          <w:highlight w:val="none"/>
        </w:rPr>
        <w:t>。</w:t>
      </w:r>
    </w:p>
    <w:p w14:paraId="0A2C4295">
      <w:pPr>
        <w:keepNext w:val="0"/>
        <w:keepLines w:val="0"/>
        <w:pageBreakBefore w:val="0"/>
        <w:widowControl w:val="0"/>
        <w:spacing w:line="360" w:lineRule="auto"/>
        <w:ind w:firstLine="480"/>
        <w:jc w:val="left"/>
        <w:rPr>
          <w:rFonts w:ascii="宋体" w:hAnsi="宋体" w:cs="隶书"/>
          <w:color w:val="auto"/>
          <w:sz w:val="24"/>
          <w:highlight w:val="none"/>
        </w:rPr>
      </w:pPr>
      <w:r>
        <w:rPr>
          <w:rFonts w:hint="eastAsia" w:ascii="宋体" w:hAnsi="宋体"/>
          <w:color w:val="auto"/>
          <w:sz w:val="24"/>
          <w:highlight w:val="none"/>
        </w:rPr>
        <w:t>2.2“采购人”系指依法进行政府采购的国家机关、事业单位、团体组织，即：</w:t>
      </w:r>
      <w:r>
        <w:rPr>
          <w:rFonts w:hint="eastAsia" w:ascii="宋体" w:hAnsi="宋体"/>
          <w:color w:val="auto"/>
          <w:sz w:val="24"/>
          <w:highlight w:val="none"/>
          <w:lang w:eastAsia="zh-CN"/>
        </w:rPr>
        <w:t>丹阳市正则高级中学</w:t>
      </w:r>
      <w:r>
        <w:rPr>
          <w:rFonts w:hint="eastAsia" w:ascii="宋体" w:hAnsi="宋体"/>
          <w:color w:val="auto"/>
          <w:sz w:val="24"/>
          <w:highlight w:val="none"/>
        </w:rPr>
        <w:t>。</w:t>
      </w:r>
    </w:p>
    <w:p w14:paraId="6E5FA499">
      <w:pPr>
        <w:keepNext w:val="0"/>
        <w:keepLines w:val="0"/>
        <w:pageBreakBefore w:val="0"/>
        <w:widowControl w:val="0"/>
        <w:spacing w:line="360" w:lineRule="auto"/>
        <w:ind w:firstLine="480"/>
        <w:jc w:val="left"/>
        <w:rPr>
          <w:rFonts w:ascii="宋体" w:hAnsi="宋体"/>
          <w:color w:val="auto"/>
          <w:sz w:val="24"/>
          <w:highlight w:val="none"/>
        </w:rPr>
      </w:pPr>
      <w:r>
        <w:rPr>
          <w:rFonts w:hint="eastAsia" w:ascii="宋体" w:hAnsi="宋体"/>
          <w:color w:val="auto"/>
          <w:sz w:val="24"/>
          <w:highlight w:val="none"/>
        </w:rPr>
        <w:t>2.3“供应商”系指向采购人提供货物、工程或者服务的法人、其他组织或者自然人。</w:t>
      </w:r>
    </w:p>
    <w:p w14:paraId="05CC4D0B">
      <w:pPr>
        <w:keepNext w:val="0"/>
        <w:keepLines w:val="0"/>
        <w:pageBreakBefore w:val="0"/>
        <w:widowControl w:val="0"/>
        <w:spacing w:line="360" w:lineRule="auto"/>
        <w:ind w:firstLine="480"/>
        <w:jc w:val="left"/>
        <w:rPr>
          <w:rFonts w:ascii="宋体" w:hAnsi="宋体"/>
          <w:color w:val="auto"/>
          <w:sz w:val="24"/>
          <w:highlight w:val="none"/>
        </w:rPr>
      </w:pPr>
      <w:bookmarkStart w:id="47" w:name="EBec1f6c4cc37b4caa9954b6d54854e118"/>
      <w:r>
        <w:rPr>
          <w:rFonts w:hint="eastAsia" w:ascii="宋体" w:hAnsi="宋体"/>
          <w:color w:val="auto"/>
          <w:sz w:val="24"/>
          <w:highlight w:val="none"/>
        </w:rPr>
        <w:t>2.4</w:t>
      </w:r>
      <w:bookmarkStart w:id="48" w:name="EBf303b0931d9c4cd59266d2badb7e129e"/>
      <w:r>
        <w:rPr>
          <w:rFonts w:hint="eastAsia" w:ascii="宋体" w:hAnsi="宋体"/>
          <w:color w:val="auto"/>
          <w:sz w:val="24"/>
          <w:highlight w:val="none"/>
        </w:rPr>
        <w:t>“工程”系指本次采购范围内所描述的各类建设工程，包括建筑物和构筑物的新建、改建、扩建、装修、拆除、修缮等。</w:t>
      </w:r>
      <w:bookmarkEnd w:id="48"/>
    </w:p>
    <w:p w14:paraId="782A6206">
      <w:pPr>
        <w:keepNext w:val="0"/>
        <w:keepLines w:val="0"/>
        <w:pageBreakBefore w:val="0"/>
        <w:widowControl w:val="0"/>
        <w:spacing w:line="360" w:lineRule="auto"/>
        <w:ind w:firstLine="480"/>
        <w:jc w:val="left"/>
        <w:rPr>
          <w:rFonts w:ascii="宋体" w:hAnsi="宋体"/>
          <w:color w:val="auto"/>
          <w:sz w:val="24"/>
          <w:highlight w:val="none"/>
        </w:rPr>
      </w:pPr>
      <w:r>
        <w:rPr>
          <w:rFonts w:hint="eastAsia" w:ascii="宋体" w:hAnsi="宋体"/>
          <w:color w:val="auto"/>
          <w:sz w:val="24"/>
          <w:highlight w:val="none"/>
        </w:rPr>
        <w:t>2.5</w:t>
      </w:r>
      <w:bookmarkStart w:id="49" w:name="EBa3298a5e457e4f10a90b8a1699f6a526"/>
      <w:r>
        <w:rPr>
          <w:rFonts w:hint="eastAsia" w:ascii="宋体" w:hAnsi="宋体"/>
          <w:color w:val="auto"/>
          <w:sz w:val="24"/>
          <w:highlight w:val="none"/>
        </w:rPr>
        <w:t>“服务”系指本磋商文件所述供应商必须承担的工程服务以及其他类似的承诺义务。</w:t>
      </w:r>
      <w:bookmarkEnd w:id="49"/>
    </w:p>
    <w:p w14:paraId="0B1F2A98">
      <w:pPr>
        <w:keepNext w:val="0"/>
        <w:keepLines w:val="0"/>
        <w:pageBreakBefore w:val="0"/>
        <w:widowControl w:val="0"/>
        <w:spacing w:line="360" w:lineRule="auto"/>
        <w:ind w:firstLine="480"/>
        <w:jc w:val="left"/>
        <w:rPr>
          <w:color w:val="auto"/>
          <w:highlight w:val="none"/>
        </w:rPr>
      </w:pPr>
      <w:r>
        <w:rPr>
          <w:rFonts w:hint="eastAsia" w:ascii="宋体" w:hAnsi="宋体"/>
          <w:color w:val="auto"/>
          <w:sz w:val="24"/>
          <w:highlight w:val="none"/>
        </w:rPr>
        <w:t>2.6</w:t>
      </w:r>
      <w:bookmarkStart w:id="50" w:name="EBdd183595105c48d0b3e7f02660f65c69"/>
      <w:r>
        <w:rPr>
          <w:rFonts w:hint="eastAsia" w:ascii="宋体" w:hAnsi="宋体"/>
          <w:color w:val="auto"/>
          <w:sz w:val="24"/>
          <w:highlight w:val="none"/>
        </w:rPr>
        <w:t>“货物”系指本磋商文件所述工程涉及的各种建筑材料</w:t>
      </w:r>
      <w:bookmarkEnd w:id="50"/>
      <w:r>
        <w:rPr>
          <w:rFonts w:hint="eastAsia" w:ascii="宋体" w:hAnsi="宋体"/>
          <w:color w:val="auto"/>
          <w:sz w:val="24"/>
          <w:highlight w:val="none"/>
        </w:rPr>
        <w:t>。</w:t>
      </w:r>
      <w:bookmarkEnd w:id="47"/>
    </w:p>
    <w:p w14:paraId="03E5F8BF">
      <w:pPr>
        <w:pStyle w:val="190"/>
        <w:keepNext w:val="0"/>
        <w:keepLines w:val="0"/>
        <w:spacing w:line="360" w:lineRule="auto"/>
        <w:ind w:firstLine="446"/>
        <w:rPr>
          <w:rFonts w:ascii="宋体" w:hAnsi="宋体"/>
          <w:color w:val="auto"/>
          <w:sz w:val="30"/>
          <w:highlight w:val="none"/>
        </w:rPr>
      </w:pPr>
      <w:bookmarkStart w:id="51" w:name="_Toc4887"/>
      <w:bookmarkStart w:id="52" w:name="_Toc11767"/>
      <w:bookmarkStart w:id="53" w:name="_Toc13856"/>
      <w:bookmarkStart w:id="54" w:name="_Toc651"/>
      <w:bookmarkStart w:id="55" w:name="_Toc73364857"/>
      <w:bookmarkStart w:id="56" w:name="_Toc73365470"/>
      <w:r>
        <w:rPr>
          <w:rFonts w:hint="eastAsia" w:ascii="宋体" w:hAnsi="宋体"/>
          <w:color w:val="auto"/>
          <w:sz w:val="30"/>
          <w:highlight w:val="none"/>
        </w:rPr>
        <w:t>3．本次采购方式</w:t>
      </w:r>
      <w:bookmarkEnd w:id="51"/>
      <w:bookmarkEnd w:id="52"/>
      <w:bookmarkEnd w:id="53"/>
      <w:bookmarkEnd w:id="54"/>
      <w:bookmarkEnd w:id="55"/>
      <w:bookmarkEnd w:id="56"/>
    </w:p>
    <w:p w14:paraId="3C90CD89">
      <w:pPr>
        <w:suppressLineNumbers w:val="0"/>
        <w:spacing w:before="0" w:after="0" w:line="360" w:lineRule="auto"/>
        <w:ind w:firstLine="480"/>
        <w:contextualSpacing w:val="0"/>
        <w:jc w:val="both"/>
        <w:rPr>
          <w:rFonts w:ascii="宋体" w:hAnsi="宋体"/>
          <w:color w:val="auto"/>
          <w:sz w:val="24"/>
          <w:highlight w:val="none"/>
        </w:rPr>
      </w:pPr>
      <w:r>
        <w:rPr>
          <w:rFonts w:hint="eastAsia" w:ascii="宋体" w:hAnsi="宋体"/>
          <w:color w:val="auto"/>
          <w:sz w:val="24"/>
          <w:highlight w:val="none"/>
        </w:rPr>
        <w:t>3.1本次采购采取竞争性磋商采购方式：综合评分法。</w:t>
      </w:r>
    </w:p>
    <w:p w14:paraId="3EF4BBD7">
      <w:pPr>
        <w:suppressLineNumbers w:val="0"/>
        <w:spacing w:before="0" w:after="0" w:line="360" w:lineRule="auto"/>
        <w:ind w:firstLine="480"/>
        <w:contextualSpacing w:val="0"/>
        <w:jc w:val="both"/>
        <w:rPr>
          <w:rFonts w:ascii="宋体" w:hAnsi="宋体"/>
          <w:color w:val="auto"/>
          <w:sz w:val="24"/>
          <w:highlight w:val="none"/>
        </w:rPr>
      </w:pPr>
      <w:r>
        <w:rPr>
          <w:rFonts w:hint="eastAsia" w:ascii="宋体" w:hAnsi="宋体"/>
          <w:color w:val="auto"/>
          <w:sz w:val="24"/>
          <w:highlight w:val="none"/>
        </w:rPr>
        <w:t>3.2</w:t>
      </w:r>
      <w:r>
        <w:rPr>
          <w:rFonts w:hint="eastAsia" w:ascii="宋体" w:hAnsi="宋体"/>
          <w:color w:val="auto"/>
          <w:sz w:val="24"/>
          <w:szCs w:val="28"/>
          <w:highlight w:val="none"/>
        </w:rPr>
        <w:t>是否接受进口产品：否</w:t>
      </w:r>
      <w:bookmarkStart w:id="57" w:name="EBb827a1ee09c24503810ef107662edd9b"/>
      <w:r>
        <w:rPr>
          <w:rFonts w:ascii="宋体" w:hAnsi="宋体"/>
          <w:color w:val="auto"/>
          <w:sz w:val="20"/>
          <w:szCs w:val="28"/>
          <w:highlight w:val="none"/>
        </w:rPr>
        <w:t xml:space="preserve"> </w:t>
      </w:r>
      <w:bookmarkEnd w:id="57"/>
      <w:bookmarkStart w:id="58" w:name="EB864908c2907a43c2b4173db210221033"/>
      <w:r>
        <w:rPr>
          <w:rFonts w:ascii="宋体" w:hAnsi="宋体"/>
          <w:color w:val="auto"/>
          <w:sz w:val="20"/>
          <w:szCs w:val="28"/>
          <w:highlight w:val="none"/>
        </w:rPr>
        <w:t xml:space="preserve"> </w:t>
      </w:r>
      <w:bookmarkEnd w:id="58"/>
      <w:bookmarkStart w:id="59" w:name="EB326aa1936df44aef9d1be4dfa91c7594"/>
      <w:r>
        <w:rPr>
          <w:rFonts w:ascii="宋体" w:hAnsi="宋体"/>
          <w:color w:val="auto"/>
          <w:sz w:val="20"/>
          <w:szCs w:val="28"/>
          <w:highlight w:val="none"/>
        </w:rPr>
        <w:t xml:space="preserve"> </w:t>
      </w:r>
      <w:bookmarkEnd w:id="59"/>
    </w:p>
    <w:p w14:paraId="71F6344E">
      <w:pPr>
        <w:suppressLineNumbers w:val="0"/>
        <w:spacing w:before="0" w:after="0" w:line="360" w:lineRule="auto"/>
        <w:ind w:firstLine="480"/>
        <w:contextualSpacing w:val="0"/>
        <w:jc w:val="both"/>
        <w:rPr>
          <w:rFonts w:ascii="宋体" w:hAnsi="宋体"/>
          <w:color w:val="auto"/>
          <w:sz w:val="24"/>
          <w:szCs w:val="28"/>
          <w:highlight w:val="none"/>
        </w:rPr>
      </w:pPr>
      <w:r>
        <w:rPr>
          <w:rFonts w:hint="eastAsia" w:ascii="宋体" w:hAnsi="宋体"/>
          <w:color w:val="auto"/>
          <w:sz w:val="24"/>
          <w:highlight w:val="none"/>
        </w:rPr>
        <w:t>3.3</w:t>
      </w:r>
      <w:r>
        <w:rPr>
          <w:rFonts w:hint="eastAsia" w:ascii="宋体" w:hAnsi="宋体"/>
          <w:color w:val="auto"/>
          <w:sz w:val="24"/>
          <w:szCs w:val="28"/>
          <w:highlight w:val="none"/>
        </w:rPr>
        <w:t>本项目资格审查方式：资格后审</w:t>
      </w:r>
      <w:bookmarkStart w:id="60" w:name="EB554d20e884b34f068f9abf5c2900c4d1"/>
      <w:r>
        <w:rPr>
          <w:rFonts w:ascii="宋体" w:hAnsi="宋体"/>
          <w:color w:val="auto"/>
          <w:sz w:val="20"/>
          <w:szCs w:val="28"/>
          <w:highlight w:val="none"/>
        </w:rPr>
        <w:t xml:space="preserve"> </w:t>
      </w:r>
      <w:bookmarkEnd w:id="60"/>
      <w:bookmarkStart w:id="61" w:name="EB95604dcf296947de98be329cdd95192a"/>
      <w:r>
        <w:rPr>
          <w:rFonts w:ascii="宋体" w:hAnsi="宋体"/>
          <w:color w:val="auto"/>
          <w:sz w:val="20"/>
          <w:szCs w:val="28"/>
          <w:highlight w:val="none"/>
        </w:rPr>
        <w:t xml:space="preserve"> </w:t>
      </w:r>
      <w:bookmarkEnd w:id="61"/>
      <w:bookmarkStart w:id="62" w:name="EBeaa6884fb96b4a01bb14112961cfa20a"/>
      <w:r>
        <w:rPr>
          <w:rFonts w:ascii="宋体" w:hAnsi="宋体"/>
          <w:color w:val="auto"/>
          <w:sz w:val="20"/>
          <w:szCs w:val="28"/>
          <w:highlight w:val="none"/>
        </w:rPr>
        <w:t xml:space="preserve"> </w:t>
      </w:r>
      <w:bookmarkEnd w:id="62"/>
    </w:p>
    <w:p w14:paraId="3E101C07">
      <w:pPr>
        <w:suppressLineNumbers w:val="0"/>
        <w:spacing w:before="0" w:after="0" w:line="360" w:lineRule="auto"/>
        <w:ind w:firstLine="480"/>
        <w:contextualSpacing w:val="0"/>
        <w:jc w:val="both"/>
        <w:rPr>
          <w:rFonts w:ascii="宋体" w:hAnsi="宋体"/>
          <w:color w:val="auto"/>
          <w:sz w:val="24"/>
          <w:szCs w:val="28"/>
          <w:highlight w:val="none"/>
        </w:rPr>
      </w:pPr>
      <w:r>
        <w:rPr>
          <w:rFonts w:hint="eastAsia" w:ascii="宋体" w:hAnsi="宋体"/>
          <w:color w:val="auto"/>
          <w:sz w:val="24"/>
          <w:szCs w:val="28"/>
          <w:highlight w:val="none"/>
        </w:rPr>
        <w:t>3.4 本次采购确定的成交人数量：</w:t>
      </w:r>
      <w:bookmarkStart w:id="63" w:name="EB239bc7938d02463888f23182e5e568e7"/>
      <w:r>
        <w:rPr>
          <w:rFonts w:hint="eastAsia" w:ascii="宋体" w:hAnsi="宋体"/>
          <w:color w:val="auto"/>
          <w:sz w:val="24"/>
          <w:szCs w:val="28"/>
          <w:highlight w:val="none"/>
        </w:rPr>
        <w:t>1名</w:t>
      </w:r>
      <w:bookmarkEnd w:id="63"/>
      <w:r>
        <w:rPr>
          <w:rFonts w:ascii="宋体" w:hAnsi="宋体"/>
          <w:color w:val="auto"/>
          <w:sz w:val="24"/>
          <w:szCs w:val="28"/>
          <w:highlight w:val="none"/>
        </w:rPr>
        <w:t xml:space="preserve"> </w:t>
      </w:r>
    </w:p>
    <w:p w14:paraId="072AE841">
      <w:pPr>
        <w:suppressLineNumbers w:val="0"/>
        <w:spacing w:before="0" w:after="0" w:line="360" w:lineRule="auto"/>
        <w:ind w:firstLine="480"/>
        <w:contextualSpacing w:val="0"/>
        <w:jc w:val="both"/>
        <w:rPr>
          <w:rFonts w:ascii="宋体" w:hAnsi="宋体"/>
          <w:color w:val="auto"/>
          <w:sz w:val="24"/>
          <w:highlight w:val="none"/>
        </w:rPr>
      </w:pPr>
      <w:bookmarkStart w:id="64" w:name="EB65f1af548e51428190f46d10e71d9afc"/>
      <w:r>
        <w:rPr>
          <w:rFonts w:hint="eastAsia" w:ascii="宋体" w:hAnsi="宋体"/>
          <w:color w:val="auto"/>
          <w:sz w:val="24"/>
          <w:highlight w:val="none"/>
        </w:rPr>
        <w:t>3.5 本项目是否接受联合体：不接受。</w:t>
      </w:r>
      <w:bookmarkEnd w:id="64"/>
    </w:p>
    <w:p w14:paraId="3F1210EA">
      <w:pPr>
        <w:pStyle w:val="190"/>
        <w:keepNext w:val="0"/>
        <w:keepLines w:val="0"/>
        <w:spacing w:line="360" w:lineRule="auto"/>
        <w:ind w:firstLine="446"/>
        <w:rPr>
          <w:rFonts w:ascii="宋体" w:hAnsi="宋体"/>
          <w:color w:val="auto"/>
          <w:sz w:val="30"/>
          <w:highlight w:val="none"/>
        </w:rPr>
      </w:pPr>
      <w:bookmarkStart w:id="65" w:name="_Toc21643"/>
      <w:bookmarkStart w:id="66" w:name="_Toc31642"/>
      <w:bookmarkStart w:id="67" w:name="_Toc73365471"/>
      <w:bookmarkStart w:id="68" w:name="_Toc1111"/>
      <w:bookmarkStart w:id="69" w:name="_Toc73364858"/>
      <w:bookmarkStart w:id="70" w:name="_Toc32083"/>
      <w:r>
        <w:rPr>
          <w:rFonts w:hint="eastAsia" w:ascii="宋体" w:hAnsi="宋体"/>
          <w:color w:val="auto"/>
          <w:sz w:val="30"/>
          <w:highlight w:val="none"/>
        </w:rPr>
        <w:t>4．磋商费用</w:t>
      </w:r>
      <w:bookmarkEnd w:id="65"/>
      <w:bookmarkEnd w:id="66"/>
      <w:bookmarkEnd w:id="67"/>
      <w:bookmarkEnd w:id="68"/>
      <w:bookmarkEnd w:id="69"/>
      <w:bookmarkEnd w:id="70"/>
    </w:p>
    <w:p w14:paraId="023483BA">
      <w:pPr>
        <w:spacing w:line="360" w:lineRule="auto"/>
        <w:ind w:firstLine="480"/>
        <w:rPr>
          <w:rFonts w:hint="eastAsia" w:ascii="宋体" w:hAnsi="宋体" w:eastAsia="宋体"/>
          <w:b/>
          <w:color w:val="auto"/>
          <w:sz w:val="24"/>
          <w:highlight w:val="none"/>
          <w:lang w:eastAsia="zh-CN"/>
        </w:rPr>
      </w:pPr>
      <w:r>
        <w:rPr>
          <w:rFonts w:hint="eastAsia" w:ascii="宋体" w:hAnsi="宋体"/>
          <w:color w:val="auto"/>
          <w:sz w:val="24"/>
          <w:highlight w:val="none"/>
        </w:rPr>
        <w:t>4.1 为简化资金结算流程、保障代理服务及时履约，提高采购执行效率</w:t>
      </w:r>
      <w:r>
        <w:rPr>
          <w:rFonts w:hint="eastAsia" w:ascii="宋体" w:hAnsi="宋体"/>
          <w:color w:val="auto"/>
          <w:sz w:val="24"/>
          <w:highlight w:val="none"/>
          <w:lang w:eastAsia="zh-CN"/>
        </w:rPr>
        <w:t>，</w:t>
      </w:r>
      <w:r>
        <w:rPr>
          <w:rFonts w:hint="eastAsia" w:ascii="宋体" w:hAnsi="宋体"/>
          <w:color w:val="auto"/>
          <w:sz w:val="24"/>
          <w:highlight w:val="none"/>
        </w:rPr>
        <w:t>供应商应自行承担所有与参加磋商有关的费用</w:t>
      </w:r>
      <w:r>
        <w:rPr>
          <w:rFonts w:hint="eastAsia" w:ascii="宋体" w:hAnsi="宋体"/>
          <w:b w:val="0"/>
          <w:bCs/>
          <w:color w:val="auto"/>
          <w:sz w:val="24"/>
          <w:highlight w:val="none"/>
          <w:lang w:eastAsia="zh-CN"/>
        </w:rPr>
        <w:t>，并将代理费计入供应商报价成本中。</w:t>
      </w:r>
    </w:p>
    <w:p w14:paraId="589843EA">
      <w:pPr>
        <w:keepNext w:val="0"/>
        <w:keepLines w:val="0"/>
        <w:pageBreakBefore w:val="0"/>
        <w:widowControl w:val="0"/>
        <w:spacing w:line="360" w:lineRule="auto"/>
        <w:ind w:firstLine="482"/>
        <w:rPr>
          <w:rFonts w:hint="eastAsia" w:ascii="宋体" w:hAnsi="宋体"/>
          <w:b/>
          <w:color w:val="auto"/>
          <w:sz w:val="24"/>
          <w:highlight w:val="none"/>
        </w:rPr>
      </w:pPr>
      <w:bookmarkStart w:id="71" w:name="EB3140ac15ffe94745a99198862d707f3f"/>
      <w:r>
        <w:rPr>
          <w:rFonts w:hint="eastAsia" w:ascii="宋体" w:hAnsi="宋体"/>
          <w:b/>
          <w:color w:val="auto"/>
          <w:sz w:val="24"/>
          <w:highlight w:val="none"/>
        </w:rPr>
        <w:t>☑</w:t>
      </w:r>
      <w:bookmarkEnd w:id="71"/>
      <w:bookmarkStart w:id="72" w:name="EB43d98a67a624490d81135a7e75760740"/>
      <w:r>
        <w:rPr>
          <w:rFonts w:hint="eastAsia" w:ascii="宋体" w:hAnsi="宋体"/>
          <w:b/>
          <w:color w:val="auto"/>
          <w:sz w:val="24"/>
          <w:highlight w:val="none"/>
        </w:rPr>
        <w:t>成交供应商需向代理机构缴纳</w:t>
      </w:r>
      <w:r>
        <w:rPr>
          <w:rFonts w:hint="eastAsia" w:ascii="宋体" w:hAnsi="宋体"/>
          <w:b/>
          <w:color w:val="auto"/>
          <w:sz w:val="24"/>
          <w:highlight w:val="none"/>
          <w:lang w:val="en-US" w:eastAsia="zh-CN"/>
        </w:rPr>
        <w:t>伍万伍仟元整</w:t>
      </w:r>
      <w:r>
        <w:rPr>
          <w:rFonts w:hint="eastAsia" w:ascii="宋体" w:hAnsi="宋体"/>
          <w:b/>
          <w:color w:val="auto"/>
          <w:sz w:val="24"/>
          <w:highlight w:val="none"/>
        </w:rPr>
        <w:t>（中标后按最终实际结算为准）服务费。</w:t>
      </w:r>
    </w:p>
    <w:p w14:paraId="103FEF1B">
      <w:pPr>
        <w:keepNext w:val="0"/>
        <w:keepLines w:val="0"/>
        <w:pageBreakBefore w:val="0"/>
        <w:widowControl w:val="0"/>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收费标准：招标代理服务费根据“关于印发《江苏省招标代理服务收费的指导意见》的通知（苏招协</w:t>
      </w:r>
      <w:r>
        <w:rPr>
          <w:rFonts w:hint="eastAsia" w:ascii="宋体" w:hAnsi="宋体"/>
          <w:b w:val="0"/>
          <w:bCs/>
          <w:color w:val="auto"/>
          <w:sz w:val="24"/>
          <w:highlight w:val="none"/>
          <w:lang w:eastAsia="zh-CN"/>
        </w:rPr>
        <w:t>〔</w:t>
      </w:r>
      <w:r>
        <w:rPr>
          <w:rFonts w:hint="eastAsia" w:ascii="宋体" w:hAnsi="宋体"/>
          <w:b w:val="0"/>
          <w:bCs/>
          <w:color w:val="auto"/>
          <w:sz w:val="24"/>
          <w:highlight w:val="none"/>
        </w:rPr>
        <w:t>2022</w:t>
      </w:r>
      <w:r>
        <w:rPr>
          <w:rFonts w:hint="eastAsia" w:ascii="宋体" w:hAnsi="宋体"/>
          <w:b w:val="0"/>
          <w:bCs/>
          <w:color w:val="auto"/>
          <w:sz w:val="24"/>
          <w:highlight w:val="none"/>
          <w:lang w:eastAsia="zh-CN"/>
        </w:rPr>
        <w:t>〕</w:t>
      </w:r>
      <w:r>
        <w:rPr>
          <w:rFonts w:hint="eastAsia" w:ascii="宋体" w:hAnsi="宋体"/>
          <w:b w:val="0"/>
          <w:bCs/>
          <w:color w:val="auto"/>
          <w:sz w:val="24"/>
          <w:highlight w:val="none"/>
        </w:rPr>
        <w:t>002）”中的</w:t>
      </w:r>
      <w:r>
        <w:rPr>
          <w:rFonts w:hint="eastAsia" w:ascii="宋体" w:hAnsi="宋体"/>
          <w:b w:val="0"/>
          <w:bCs/>
          <w:color w:val="auto"/>
          <w:sz w:val="24"/>
          <w:highlight w:val="none"/>
          <w:lang w:eastAsia="zh-CN"/>
        </w:rPr>
        <w:t>工程</w:t>
      </w:r>
      <w:r>
        <w:rPr>
          <w:rFonts w:hint="eastAsia" w:ascii="宋体" w:hAnsi="宋体"/>
          <w:b w:val="0"/>
          <w:bCs/>
          <w:color w:val="auto"/>
          <w:sz w:val="24"/>
          <w:highlight w:val="none"/>
        </w:rPr>
        <w:t>类费率标准计取，最终取费按固定总价收取。</w:t>
      </w:r>
    </w:p>
    <w:p w14:paraId="27B3E22C">
      <w:pPr>
        <w:keepNext w:val="0"/>
        <w:keepLines w:val="0"/>
        <w:pageBreakBefore w:val="0"/>
        <w:widowControl w:val="0"/>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磋商代理费用收款信息：</w:t>
      </w:r>
    </w:p>
    <w:p w14:paraId="24FF0213">
      <w:pPr>
        <w:keepNext w:val="0"/>
        <w:keepLines w:val="0"/>
        <w:pageBreakBefore w:val="0"/>
        <w:widowControl w:val="0"/>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收款单位：</w:t>
      </w:r>
      <w:r>
        <w:rPr>
          <w:rFonts w:hint="eastAsia" w:ascii="宋体" w:hAnsi="宋体"/>
          <w:b w:val="0"/>
          <w:bCs/>
          <w:color w:val="auto"/>
          <w:sz w:val="24"/>
          <w:highlight w:val="none"/>
          <w:lang w:eastAsia="zh-CN"/>
        </w:rPr>
        <w:t>江苏万信项目管理有限公司</w:t>
      </w:r>
    </w:p>
    <w:p w14:paraId="05B212CA">
      <w:pPr>
        <w:keepNext w:val="0"/>
        <w:keepLines w:val="0"/>
        <w:pageBreakBefore w:val="0"/>
        <w:widowControl w:val="0"/>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收款账号：</w:t>
      </w:r>
      <w:r>
        <w:rPr>
          <w:rFonts w:hint="eastAsia" w:ascii="宋体" w:hAnsi="宋体"/>
          <w:b w:val="0"/>
          <w:bCs/>
          <w:color w:val="auto"/>
          <w:sz w:val="24"/>
          <w:highlight w:val="none"/>
          <w:lang w:val="en-US" w:eastAsia="zh-CN"/>
        </w:rPr>
        <w:t>70600188000070456</w:t>
      </w:r>
    </w:p>
    <w:p w14:paraId="232797B1">
      <w:pPr>
        <w:keepNext w:val="0"/>
        <w:keepLines w:val="0"/>
        <w:pageBreakBefore w:val="0"/>
        <w:widowControl w:val="0"/>
        <w:spacing w:line="360" w:lineRule="auto"/>
        <w:ind w:firstLine="480"/>
        <w:rPr>
          <w:rFonts w:hint="eastAsia" w:ascii="宋体" w:hAnsi="宋体"/>
          <w:b w:val="0"/>
          <w:bCs/>
          <w:color w:val="auto"/>
          <w:sz w:val="24"/>
          <w:highlight w:val="none"/>
          <w:lang w:val="en-US" w:eastAsia="zh-CN"/>
        </w:rPr>
      </w:pPr>
      <w:r>
        <w:rPr>
          <w:rFonts w:hint="eastAsia" w:ascii="宋体" w:hAnsi="宋体"/>
          <w:b w:val="0"/>
          <w:bCs/>
          <w:color w:val="auto"/>
          <w:sz w:val="24"/>
          <w:highlight w:val="none"/>
        </w:rPr>
        <w:t>开户银行：</w:t>
      </w:r>
      <w:bookmarkEnd w:id="72"/>
      <w:bookmarkStart w:id="73" w:name="EB7c64003d7e0e4e5ea43cca1ed8ad389b"/>
      <w:r>
        <w:rPr>
          <w:rFonts w:hint="eastAsia" w:ascii="宋体" w:hAnsi="宋体"/>
          <w:b w:val="0"/>
          <w:bCs/>
          <w:color w:val="auto"/>
          <w:sz w:val="24"/>
          <w:highlight w:val="none"/>
          <w:lang w:val="en-US" w:eastAsia="zh-CN"/>
        </w:rPr>
        <w:t>江苏银行丹金路支行</w:t>
      </w:r>
      <w:bookmarkEnd w:id="73"/>
    </w:p>
    <w:p w14:paraId="61E2270C">
      <w:pPr>
        <w:spacing w:line="360" w:lineRule="auto"/>
        <w:ind w:firstLine="480"/>
        <w:rPr>
          <w:rFonts w:ascii="宋体" w:hAnsi="宋体"/>
          <w:color w:val="auto"/>
          <w:sz w:val="24"/>
          <w:highlight w:val="none"/>
        </w:rPr>
      </w:pPr>
      <w:r>
        <w:rPr>
          <w:rFonts w:hint="eastAsia" w:ascii="宋体" w:hAnsi="宋体"/>
          <w:color w:val="auto"/>
          <w:sz w:val="24"/>
          <w:highlight w:val="none"/>
        </w:rPr>
        <w:t>4.2不论磋商的结果如何，磋商组织方在任何情况下均无义务和责任承担上述费用。</w:t>
      </w:r>
    </w:p>
    <w:p w14:paraId="156D5310">
      <w:pPr>
        <w:pStyle w:val="190"/>
        <w:keepNext w:val="0"/>
        <w:keepLines w:val="0"/>
        <w:spacing w:before="200" w:after="200" w:line="360" w:lineRule="auto"/>
        <w:ind w:firstLine="446"/>
        <w:rPr>
          <w:rFonts w:ascii="宋体" w:hAnsi="宋体"/>
          <w:color w:val="auto"/>
          <w:sz w:val="30"/>
          <w:highlight w:val="none"/>
        </w:rPr>
      </w:pPr>
      <w:bookmarkStart w:id="74" w:name="_Toc28861"/>
      <w:bookmarkStart w:id="75" w:name="_Toc7472"/>
      <w:bookmarkStart w:id="76" w:name="_Toc27353"/>
      <w:bookmarkStart w:id="77" w:name="_Toc73365472"/>
      <w:bookmarkStart w:id="78" w:name="_Toc73364859"/>
      <w:bookmarkStart w:id="79" w:name="_Toc2196"/>
      <w:r>
        <w:rPr>
          <w:rFonts w:hint="eastAsia" w:ascii="宋体" w:hAnsi="宋体"/>
          <w:color w:val="auto"/>
          <w:sz w:val="30"/>
          <w:highlight w:val="none"/>
        </w:rPr>
        <w:t>5．政策功能</w:t>
      </w:r>
      <w:bookmarkEnd w:id="74"/>
      <w:bookmarkEnd w:id="75"/>
      <w:bookmarkEnd w:id="76"/>
      <w:bookmarkEnd w:id="77"/>
      <w:bookmarkEnd w:id="78"/>
      <w:bookmarkEnd w:id="79"/>
    </w:p>
    <w:p w14:paraId="26703F25">
      <w:pPr>
        <w:spacing w:line="360" w:lineRule="auto"/>
        <w:ind w:firstLine="480"/>
        <w:rPr>
          <w:rFonts w:hint="eastAsia" w:ascii="宋体" w:hAnsi="宋体"/>
          <w:bCs/>
          <w:color w:val="auto"/>
          <w:sz w:val="24"/>
          <w:highlight w:val="none"/>
        </w:rPr>
      </w:pPr>
      <w:bookmarkStart w:id="80" w:name="EBb58ba9c21455448fab293ab7ccebb5a9"/>
      <w:r>
        <w:rPr>
          <w:rFonts w:hint="eastAsia" w:ascii="宋体" w:hAnsi="宋体"/>
          <w:bCs/>
          <w:color w:val="auto"/>
          <w:sz w:val="24"/>
          <w:highlight w:val="none"/>
        </w:rPr>
        <w:t>5.1支持中小企业发展</w:t>
      </w:r>
    </w:p>
    <w:p w14:paraId="602BC82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09BBF7B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符合中小企业划分标准的个体工商户，在政府采购活动中视同中小企业。</w:t>
      </w:r>
    </w:p>
    <w:p w14:paraId="6891529F">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5.1.2在政府采购活动中，投标人提供的货物、工程或者服务符合下列情形的，享受中小企业扶持政策：</w:t>
      </w:r>
    </w:p>
    <w:p w14:paraId="4ADD4AFE">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5.1.2.1在货物采购项目中，货物由中小企业制造，即货物由中小企业生产且使用该中小企业商号或者注册商标；</w:t>
      </w:r>
    </w:p>
    <w:p w14:paraId="47DCB5B9">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5.1.2.2在工程采购项目中，工程由中小企业承建，即工程施工单位为中小企业；</w:t>
      </w:r>
    </w:p>
    <w:p w14:paraId="77FA1BA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5.1.2.3在服务采购项目中，服务由中小企业承接，即提供服务的人员为中小企业依照《中华人民共和国劳动合同法》订立劳动合同的从业人员。</w:t>
      </w:r>
    </w:p>
    <w:p w14:paraId="78B3BE9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在货物采购项目中，投标人提供的货物既有中小企业制造货物，也有大型企业制造货物的，不享受中小企业扶持政策。</w:t>
      </w:r>
    </w:p>
    <w:p w14:paraId="39E335D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以联合体形式参加政府采购活动，联合体各方均为中小企业的，联合体视同中小企业。其中，联合体各方均为小微企业的，联合体视同小微企业。</w:t>
      </w:r>
    </w:p>
    <w:p w14:paraId="7BEEA5C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w:t>
      </w:r>
      <w:r>
        <w:rPr>
          <w:rFonts w:hint="eastAsia" w:ascii="宋体" w:hAnsi="宋体"/>
          <w:bCs/>
          <w:color w:val="auto"/>
          <w:sz w:val="24"/>
          <w:highlight w:val="none"/>
        </w:rPr>
        <w:t>2011</w:t>
      </w:r>
      <w:r>
        <w:rPr>
          <w:rFonts w:hint="eastAsia" w:ascii="宋体" w:hAnsi="宋体"/>
          <w:bCs/>
          <w:color w:val="auto"/>
          <w:sz w:val="24"/>
          <w:highlight w:val="none"/>
          <w:lang w:eastAsia="zh-CN"/>
        </w:rPr>
        <w:t>〕</w:t>
      </w:r>
      <w:r>
        <w:rPr>
          <w:rFonts w:hint="eastAsia" w:ascii="宋体" w:hAnsi="宋体"/>
          <w:bCs/>
          <w:color w:val="auto"/>
          <w:sz w:val="24"/>
          <w:highlight w:val="none"/>
        </w:rPr>
        <w:t>300号）。</w:t>
      </w:r>
    </w:p>
    <w:p w14:paraId="31FAC3FF">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0787564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47C9EFD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5.1.6中小企业享受扶持政策获得政府采购合同的，小微企业不得将合同分包给大中型企业，中型企业不得将合同分包给大型企业。</w:t>
      </w:r>
    </w:p>
    <w:p w14:paraId="3CB3F1F9">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5.2强制采购信息安全产品</w:t>
      </w:r>
    </w:p>
    <w:p w14:paraId="36B071A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信息安全产品指国家质检总局国家认监委《信息安全产品强制性认证目录》，并获得强制性产品认证证书的产品。</w:t>
      </w:r>
    </w:p>
    <w:p w14:paraId="005671F3">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5.3支持绿色发展</w:t>
      </w:r>
    </w:p>
    <w:p w14:paraId="46D04879">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2E1ED56F">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5.3.2本项目中涉及商品包装和快递包装的，参考《财政部办公厅关于印发《商品包装政府采购需求标准（试行）》、《快递包装政府采购需求标准（试行）》的通知》（财办库〔2020〕123号）规定的包装需求标准。</w:t>
      </w:r>
    </w:p>
    <w:p w14:paraId="6FA87FE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3DF8B811">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5.3.4采购人采购数据中心相关设备、运维服务，按照《绿色数据中心政府采购需求标准（试行）》实施相关采购活动。</w:t>
      </w:r>
    </w:p>
    <w:p w14:paraId="2288F82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5.4 根据国家扶持中小企业的有关政策，采购项目中标人在履约过程中如遇到资金困难，凭政府采购合同在相关金融机构办理授信申请，相关事宜请查阅“江苏政府采购网---政采贷”网站。</w:t>
      </w:r>
    </w:p>
    <w:p w14:paraId="4474014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5.5支持创新发展</w:t>
      </w:r>
    </w:p>
    <w:p w14:paraId="545BF30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5.5.1采购人优先采购被认定为重点推广应用、首台（套）重大装备、重点领域首版次软件的自主创新产品。</w:t>
      </w:r>
    </w:p>
    <w:p w14:paraId="2BB7B25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5.6平等对待内外资企业和符合条件的破产重整企业</w:t>
      </w:r>
    </w:p>
    <w:p w14:paraId="6496268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5.6.1平等对待内外资企业和符合条件的破产重整企业，切实保障企业公平竞争，平等维护企业的合法利益。</w:t>
      </w:r>
    </w:p>
    <w:p w14:paraId="313D401E">
      <w:pPr>
        <w:spacing w:line="360" w:lineRule="auto"/>
        <w:ind w:firstLine="480"/>
        <w:rPr>
          <w:color w:val="auto"/>
          <w:highlight w:val="none"/>
        </w:rPr>
      </w:pPr>
      <w:r>
        <w:rPr>
          <w:rFonts w:hint="eastAsia" w:ascii="宋体" w:hAnsi="宋体"/>
          <w:bCs/>
          <w:color w:val="auto"/>
          <w:sz w:val="24"/>
          <w:highlight w:val="none"/>
        </w:rPr>
        <w:t>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w:t>
      </w:r>
      <w:r>
        <w:rPr>
          <w:rFonts w:hint="eastAsia" w:ascii="宋体" w:hAnsi="宋体"/>
          <w:bCs/>
          <w:color w:val="auto"/>
          <w:sz w:val="24"/>
          <w:highlight w:val="none"/>
        </w:rPr>
        <w:t>2023</w:t>
      </w:r>
      <w:r>
        <w:rPr>
          <w:rFonts w:hint="eastAsia" w:ascii="宋体" w:hAnsi="宋体"/>
          <w:bCs/>
          <w:color w:val="auto"/>
          <w:sz w:val="24"/>
          <w:highlight w:val="none"/>
          <w:lang w:eastAsia="zh-CN"/>
        </w:rPr>
        <w:t>〕</w:t>
      </w:r>
      <w:r>
        <w:rPr>
          <w:rFonts w:hint="eastAsia" w:ascii="宋体" w:hAnsi="宋体"/>
          <w:bCs/>
          <w:color w:val="auto"/>
          <w:sz w:val="24"/>
          <w:highlight w:val="none"/>
        </w:rPr>
        <w:t>150号）要求，参与采购活动且中标、成交的企业，可以用履约保函（保险）形式代替提供履约保证金。</w:t>
      </w:r>
      <w:bookmarkEnd w:id="80"/>
    </w:p>
    <w:p w14:paraId="0229065B">
      <w:pPr>
        <w:pStyle w:val="189"/>
        <w:rPr>
          <w:rFonts w:ascii="宋体" w:hAnsi="宋体" w:eastAsia="宋体"/>
          <w:color w:val="auto"/>
          <w:sz w:val="32"/>
          <w:highlight w:val="none"/>
        </w:rPr>
      </w:pPr>
      <w:bookmarkStart w:id="81" w:name="_Toc28736"/>
      <w:bookmarkStart w:id="82" w:name="_Toc73364860"/>
      <w:bookmarkStart w:id="83" w:name="_Toc73365473"/>
      <w:r>
        <w:rPr>
          <w:rFonts w:hint="eastAsia" w:ascii="宋体" w:hAnsi="宋体" w:eastAsia="宋体"/>
          <w:color w:val="auto"/>
          <w:sz w:val="32"/>
          <w:highlight w:val="none"/>
        </w:rPr>
        <w:t>二、磋商文件</w:t>
      </w:r>
      <w:bookmarkEnd w:id="81"/>
      <w:bookmarkEnd w:id="82"/>
      <w:bookmarkEnd w:id="83"/>
    </w:p>
    <w:p w14:paraId="6D95B416">
      <w:pPr>
        <w:pStyle w:val="190"/>
        <w:keepNext w:val="0"/>
        <w:keepLines w:val="0"/>
        <w:spacing w:before="200" w:after="200" w:line="360" w:lineRule="auto"/>
        <w:ind w:firstLine="446"/>
        <w:rPr>
          <w:rFonts w:ascii="宋体" w:hAnsi="宋体"/>
          <w:color w:val="auto"/>
          <w:sz w:val="30"/>
          <w:highlight w:val="none"/>
        </w:rPr>
      </w:pPr>
      <w:bookmarkStart w:id="84" w:name="_Toc30018"/>
      <w:bookmarkStart w:id="85" w:name="_Toc24644"/>
      <w:bookmarkStart w:id="86" w:name="_Toc73365474"/>
      <w:bookmarkStart w:id="87" w:name="_Toc32660"/>
      <w:bookmarkStart w:id="88" w:name="_Toc15507"/>
      <w:bookmarkStart w:id="89" w:name="_Toc73364861"/>
      <w:r>
        <w:rPr>
          <w:rFonts w:hint="eastAsia" w:ascii="宋体" w:hAnsi="宋体"/>
          <w:color w:val="auto"/>
          <w:sz w:val="30"/>
          <w:highlight w:val="none"/>
        </w:rPr>
        <w:t>6．磋商文件组成</w:t>
      </w:r>
      <w:bookmarkEnd w:id="84"/>
      <w:bookmarkEnd w:id="85"/>
      <w:bookmarkEnd w:id="86"/>
      <w:bookmarkEnd w:id="87"/>
      <w:bookmarkEnd w:id="88"/>
      <w:bookmarkEnd w:id="89"/>
    </w:p>
    <w:p w14:paraId="4C7C263B">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6.1磋商文件包括：</w:t>
      </w:r>
    </w:p>
    <w:p w14:paraId="61DFE7BA">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（1）磋商邀请</w:t>
      </w:r>
    </w:p>
    <w:p w14:paraId="41AB482A">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（2）供应商须知</w:t>
      </w:r>
    </w:p>
    <w:p w14:paraId="19759611">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（3）合同</w:t>
      </w:r>
    </w:p>
    <w:p w14:paraId="06E33B9C">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（4）采购需求</w:t>
      </w:r>
    </w:p>
    <w:p w14:paraId="2FFE8A47">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（5）评审办法和标准</w:t>
      </w:r>
    </w:p>
    <w:p w14:paraId="3C1FD7B8">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（6）磋商响应文件（格式）</w:t>
      </w:r>
    </w:p>
    <w:p w14:paraId="6DF55E7E">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6.2供应商获取本文件后，应认真阅读本文件中所有的事项、格式条款和规范等要求。</w:t>
      </w:r>
    </w:p>
    <w:p w14:paraId="65CCB100">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6.3</w:t>
      </w:r>
      <w:r>
        <w:rPr>
          <w:rFonts w:hint="eastAsia" w:ascii="宋体" w:hAnsi="宋体"/>
          <w:b/>
          <w:color w:val="auto"/>
          <w:sz w:val="24"/>
          <w:highlight w:val="none"/>
          <w:u w:val="single"/>
        </w:rPr>
        <w:t>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w:t>
      </w:r>
    </w:p>
    <w:p w14:paraId="025103A1">
      <w:pPr>
        <w:pStyle w:val="190"/>
        <w:keepNext w:val="0"/>
        <w:keepLines w:val="0"/>
        <w:spacing w:before="200" w:after="200" w:line="360" w:lineRule="auto"/>
        <w:ind w:firstLine="446"/>
        <w:rPr>
          <w:rFonts w:ascii="宋体" w:hAnsi="宋体"/>
          <w:color w:val="auto"/>
          <w:sz w:val="30"/>
          <w:highlight w:val="none"/>
        </w:rPr>
      </w:pPr>
      <w:bookmarkStart w:id="90" w:name="_Toc6982"/>
      <w:bookmarkStart w:id="91" w:name="_Toc7192"/>
      <w:bookmarkStart w:id="92" w:name="_Toc73364862"/>
      <w:bookmarkStart w:id="93" w:name="_Toc32389"/>
      <w:bookmarkStart w:id="94" w:name="_Toc22916"/>
      <w:bookmarkStart w:id="95" w:name="_Toc73365475"/>
      <w:r>
        <w:rPr>
          <w:rFonts w:hint="eastAsia" w:ascii="宋体" w:hAnsi="宋体"/>
          <w:color w:val="auto"/>
          <w:sz w:val="30"/>
          <w:highlight w:val="none"/>
        </w:rPr>
        <w:t>7．磋商文件的澄清和修改</w:t>
      </w:r>
      <w:bookmarkEnd w:id="90"/>
      <w:bookmarkEnd w:id="91"/>
      <w:bookmarkEnd w:id="92"/>
      <w:bookmarkEnd w:id="93"/>
      <w:bookmarkEnd w:id="94"/>
      <w:bookmarkEnd w:id="95"/>
    </w:p>
    <w:p w14:paraId="6F49F635">
      <w:pPr>
        <w:spacing w:line="360" w:lineRule="auto"/>
        <w:ind w:firstLine="480"/>
        <w:rPr>
          <w:rFonts w:ascii="宋体" w:hAnsi="宋体"/>
          <w:color w:val="auto"/>
          <w:sz w:val="24"/>
          <w:highlight w:val="none"/>
        </w:rPr>
      </w:pPr>
      <w:r>
        <w:rPr>
          <w:rFonts w:hint="eastAsia" w:ascii="宋体" w:hAnsi="宋体"/>
          <w:color w:val="auto"/>
          <w:sz w:val="24"/>
          <w:highlight w:val="none"/>
        </w:rPr>
        <w:t>7.1任何要求对磋商文件进行澄清的供应商，应及时联系项目联系人。</w:t>
      </w:r>
    </w:p>
    <w:p w14:paraId="0D5328C7">
      <w:pPr>
        <w:spacing w:line="360" w:lineRule="auto"/>
        <w:ind w:firstLine="480"/>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按照权责相一致原则，供应商提出的对于磋商文件主要商务、技术指标的相关澄清、修改要求，由采购人负责答复并视情况作出澄清或修改的决定。</w:t>
      </w:r>
    </w:p>
    <w:p w14:paraId="1ED7382D">
      <w:pPr>
        <w:spacing w:line="360" w:lineRule="auto"/>
        <w:ind w:firstLine="480"/>
        <w:rPr>
          <w:rFonts w:ascii="宋体" w:hAnsi="宋体"/>
          <w:color w:val="auto"/>
          <w:sz w:val="24"/>
          <w:highlight w:val="none"/>
        </w:rPr>
      </w:pPr>
      <w:r>
        <w:rPr>
          <w:rFonts w:hint="eastAsia" w:ascii="宋体" w:hAnsi="宋体"/>
          <w:color w:val="auto"/>
          <w:sz w:val="24"/>
          <w:highlight w:val="none"/>
        </w:rPr>
        <w:t>7.3磋商组织方可以对已发出的磋商文件进行必要的澄清或者修改。澄清或者修改将在“</w:t>
      </w:r>
      <w:r>
        <w:rPr>
          <w:rFonts w:hint="eastAsia" w:ascii="宋体" w:hAnsi="宋体"/>
          <w:color w:val="auto"/>
          <w:sz w:val="24"/>
          <w:highlight w:val="none"/>
          <w:lang w:eastAsia="zh-CN"/>
        </w:rPr>
        <w:t>江苏省政府采购网站</w:t>
      </w:r>
      <w:r>
        <w:rPr>
          <w:rFonts w:hint="eastAsia" w:ascii="宋体" w:hAnsi="宋体"/>
          <w:color w:val="auto"/>
          <w:sz w:val="24"/>
          <w:highlight w:val="none"/>
        </w:rPr>
        <w:t>”网站上发布澄清公告。澄清或者修改的内容为磋商文件的组成部分。</w:t>
      </w:r>
    </w:p>
    <w:p w14:paraId="750296C9">
      <w:pPr>
        <w:spacing w:line="360" w:lineRule="auto"/>
        <w:ind w:firstLine="480"/>
        <w:rPr>
          <w:rFonts w:ascii="宋体" w:hAnsi="宋体"/>
          <w:color w:val="auto"/>
          <w:sz w:val="24"/>
          <w:highlight w:val="none"/>
        </w:rPr>
      </w:pPr>
      <w:r>
        <w:rPr>
          <w:rFonts w:hint="eastAsia" w:ascii="宋体" w:hAnsi="宋体"/>
          <w:color w:val="auto"/>
          <w:sz w:val="24"/>
          <w:highlight w:val="none"/>
        </w:rPr>
        <w:t>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p>
    <w:p w14:paraId="119F65D9">
      <w:pPr>
        <w:spacing w:line="360" w:lineRule="auto"/>
        <w:ind w:firstLine="482"/>
        <w:rPr>
          <w:color w:val="auto"/>
          <w:highlight w:val="none"/>
        </w:rPr>
      </w:pPr>
      <w:r>
        <w:rPr>
          <w:rFonts w:hint="eastAsia" w:ascii="宋体" w:hAnsi="宋体"/>
          <w:b/>
          <w:color w:val="auto"/>
          <w:sz w:val="24"/>
          <w:highlight w:val="none"/>
        </w:rPr>
        <w:t>7.5如澄清或修改公告有重新发布电子磋商文件的，供应商应下载最新发布的电子磋商文件制作响应文件。</w:t>
      </w:r>
      <w:r>
        <w:rPr>
          <w:rFonts w:ascii="宋体" w:hAnsi="宋体"/>
          <w:b/>
          <w:color w:val="auto"/>
          <w:sz w:val="24"/>
          <w:highlight w:val="none"/>
        </w:rPr>
        <w:t>因供应商自身原因未能及时获取的</w:t>
      </w:r>
      <w:r>
        <w:rPr>
          <w:rFonts w:hint="eastAsia" w:ascii="宋体" w:hAnsi="宋体"/>
          <w:b/>
          <w:color w:val="auto"/>
          <w:sz w:val="24"/>
          <w:highlight w:val="none"/>
        </w:rPr>
        <w:t>，一切后果由供应商自行承担。</w:t>
      </w:r>
    </w:p>
    <w:p w14:paraId="1DDC266E">
      <w:pPr>
        <w:pStyle w:val="189"/>
        <w:tabs>
          <w:tab w:val="left" w:pos="6444"/>
        </w:tabs>
        <w:jc w:val="center"/>
        <w:rPr>
          <w:rFonts w:ascii="宋体" w:hAnsi="宋体" w:eastAsia="宋体"/>
          <w:color w:val="auto"/>
          <w:sz w:val="32"/>
          <w:highlight w:val="none"/>
        </w:rPr>
      </w:pPr>
      <w:bookmarkStart w:id="96" w:name="_Toc13491"/>
      <w:bookmarkStart w:id="97" w:name="_Toc73365476"/>
      <w:bookmarkStart w:id="98" w:name="_Toc73364863"/>
      <w:r>
        <w:rPr>
          <w:rFonts w:hint="eastAsia" w:ascii="宋体" w:hAnsi="宋体" w:eastAsia="宋体"/>
          <w:color w:val="auto"/>
          <w:sz w:val="32"/>
          <w:highlight w:val="none"/>
        </w:rPr>
        <w:t>三、磋商响应文件</w:t>
      </w:r>
      <w:bookmarkEnd w:id="96"/>
      <w:bookmarkEnd w:id="97"/>
      <w:bookmarkEnd w:id="98"/>
    </w:p>
    <w:p w14:paraId="4480A23F">
      <w:pPr>
        <w:pStyle w:val="190"/>
        <w:keepNext w:val="0"/>
        <w:keepLines w:val="0"/>
        <w:spacing w:before="200" w:after="200" w:line="360" w:lineRule="auto"/>
        <w:ind w:firstLine="446"/>
        <w:rPr>
          <w:rFonts w:ascii="宋体" w:hAnsi="宋体"/>
          <w:color w:val="auto"/>
          <w:sz w:val="30"/>
          <w:highlight w:val="none"/>
        </w:rPr>
      </w:pPr>
      <w:bookmarkStart w:id="99" w:name="_Toc73364864"/>
      <w:bookmarkStart w:id="100" w:name="_Toc28680"/>
      <w:bookmarkStart w:id="101" w:name="_Toc73365477"/>
      <w:bookmarkStart w:id="102" w:name="_Toc30589"/>
      <w:bookmarkStart w:id="103" w:name="_Toc26079"/>
      <w:bookmarkStart w:id="104" w:name="_Toc2411"/>
      <w:r>
        <w:rPr>
          <w:rFonts w:hint="eastAsia" w:ascii="宋体" w:hAnsi="宋体"/>
          <w:color w:val="auto"/>
          <w:sz w:val="30"/>
          <w:highlight w:val="none"/>
        </w:rPr>
        <w:t>8．编制响应文件的工具</w:t>
      </w:r>
      <w:bookmarkEnd w:id="99"/>
      <w:bookmarkEnd w:id="100"/>
      <w:bookmarkEnd w:id="101"/>
      <w:bookmarkEnd w:id="102"/>
      <w:bookmarkEnd w:id="103"/>
      <w:bookmarkEnd w:id="104"/>
    </w:p>
    <w:p w14:paraId="23EC92A1">
      <w:pPr>
        <w:spacing w:line="360" w:lineRule="auto"/>
        <w:ind w:firstLine="480"/>
        <w:rPr>
          <w:rFonts w:ascii="宋体" w:hAnsi="宋体"/>
          <w:color w:val="auto"/>
          <w:sz w:val="24"/>
          <w:highlight w:val="none"/>
        </w:rPr>
      </w:pPr>
      <w:r>
        <w:rPr>
          <w:rFonts w:hint="eastAsia" w:ascii="宋体" w:hAnsi="宋体"/>
          <w:color w:val="auto"/>
          <w:sz w:val="24"/>
          <w:highlight w:val="none"/>
        </w:rPr>
        <w:t>8.1供应商须通过“苏采云（政府采购一体化平台）”提供的最新响应文件制作软件编制响应文件。</w:t>
      </w:r>
    </w:p>
    <w:p w14:paraId="3B0D622E">
      <w:pPr>
        <w:pStyle w:val="190"/>
        <w:keepNext w:val="0"/>
        <w:keepLines w:val="0"/>
        <w:spacing w:before="200" w:after="200" w:line="360" w:lineRule="auto"/>
        <w:ind w:firstLine="446"/>
        <w:rPr>
          <w:rFonts w:ascii="宋体" w:hAnsi="宋体"/>
          <w:color w:val="auto"/>
          <w:sz w:val="30"/>
          <w:highlight w:val="none"/>
        </w:rPr>
      </w:pPr>
      <w:bookmarkStart w:id="105" w:name="_Toc73365478"/>
      <w:bookmarkStart w:id="106" w:name="_Toc20389"/>
      <w:bookmarkStart w:id="107" w:name="_Toc29007"/>
      <w:bookmarkStart w:id="108" w:name="_Toc11675"/>
      <w:bookmarkStart w:id="109" w:name="_Toc73364865"/>
      <w:bookmarkStart w:id="110" w:name="_Toc11644"/>
      <w:r>
        <w:rPr>
          <w:rFonts w:hint="eastAsia" w:ascii="宋体" w:hAnsi="宋体"/>
          <w:color w:val="auto"/>
          <w:sz w:val="30"/>
          <w:highlight w:val="none"/>
        </w:rPr>
        <w:t>9．响应文件语言及度量衡单位</w:t>
      </w:r>
      <w:bookmarkEnd w:id="105"/>
      <w:bookmarkEnd w:id="106"/>
      <w:bookmarkEnd w:id="107"/>
      <w:bookmarkEnd w:id="108"/>
      <w:bookmarkEnd w:id="109"/>
      <w:bookmarkEnd w:id="110"/>
    </w:p>
    <w:p w14:paraId="2786F617">
      <w:pPr>
        <w:spacing w:line="360" w:lineRule="auto"/>
        <w:ind w:firstLine="480"/>
        <w:rPr>
          <w:rFonts w:ascii="宋体" w:hAnsi="宋体"/>
          <w:color w:val="auto"/>
          <w:sz w:val="24"/>
          <w:highlight w:val="none"/>
        </w:rPr>
      </w:pPr>
      <w:r>
        <w:rPr>
          <w:rFonts w:hint="eastAsia" w:ascii="宋体" w:hAnsi="宋体"/>
          <w:color w:val="auto"/>
          <w:sz w:val="24"/>
          <w:highlight w:val="none"/>
        </w:rPr>
        <w:t>9.1供应商的响应文件以及供应商就有关磋商的所有来往通知、函件和文件均应使用简体中文。供应商提交的支持性文件可以使用另一种语言，但相应内容应翻译成中文，在解释响应文件时以中文文本为准。</w:t>
      </w:r>
    </w:p>
    <w:p w14:paraId="2AF6DE30">
      <w:pPr>
        <w:spacing w:line="360" w:lineRule="auto"/>
        <w:ind w:firstLine="480"/>
        <w:rPr>
          <w:rFonts w:ascii="宋体" w:hAnsi="宋体"/>
          <w:color w:val="auto"/>
          <w:sz w:val="24"/>
          <w:highlight w:val="none"/>
        </w:rPr>
      </w:pPr>
      <w:r>
        <w:rPr>
          <w:rFonts w:hint="eastAsia" w:ascii="宋体" w:hAnsi="宋体"/>
          <w:color w:val="auto"/>
          <w:sz w:val="24"/>
          <w:highlight w:val="none"/>
        </w:rPr>
        <w:t>9.2响应文件中所使用的计量单位除磋商文件中另有特殊规定外，一律使用法定计量单位。</w:t>
      </w:r>
    </w:p>
    <w:p w14:paraId="5E8DBD22">
      <w:pPr>
        <w:pStyle w:val="190"/>
        <w:keepNext w:val="0"/>
        <w:keepLines w:val="0"/>
        <w:spacing w:before="200" w:after="200" w:line="360" w:lineRule="auto"/>
        <w:ind w:firstLine="446"/>
        <w:rPr>
          <w:rFonts w:ascii="宋体" w:hAnsi="宋体"/>
          <w:color w:val="auto"/>
          <w:sz w:val="30"/>
          <w:highlight w:val="none"/>
        </w:rPr>
      </w:pPr>
      <w:bookmarkStart w:id="111" w:name="_Toc73364866"/>
      <w:bookmarkStart w:id="112" w:name="_Toc27758"/>
      <w:bookmarkStart w:id="113" w:name="_Toc25557"/>
      <w:bookmarkStart w:id="114" w:name="_Toc19105"/>
      <w:bookmarkStart w:id="115" w:name="_Toc73365479"/>
      <w:bookmarkStart w:id="116" w:name="_Toc2582"/>
      <w:r>
        <w:rPr>
          <w:rFonts w:hint="eastAsia" w:ascii="宋体" w:hAnsi="宋体"/>
          <w:color w:val="auto"/>
          <w:sz w:val="30"/>
          <w:highlight w:val="none"/>
        </w:rPr>
        <w:t>10．响应文件的构成</w:t>
      </w:r>
      <w:bookmarkEnd w:id="111"/>
      <w:bookmarkEnd w:id="112"/>
      <w:bookmarkEnd w:id="113"/>
      <w:bookmarkEnd w:id="114"/>
      <w:bookmarkEnd w:id="115"/>
      <w:bookmarkEnd w:id="116"/>
    </w:p>
    <w:p w14:paraId="1AE970B3">
      <w:pPr>
        <w:pStyle w:val="245"/>
        <w:widowControl/>
        <w:spacing w:line="360" w:lineRule="auto"/>
        <w:ind w:firstLine="425"/>
        <w:rPr>
          <w:rFonts w:ascii="宋体" w:hAnsi="宋体"/>
          <w:color w:val="auto"/>
          <w:sz w:val="24"/>
          <w:highlight w:val="none"/>
        </w:rPr>
      </w:pPr>
      <w:r>
        <w:rPr>
          <w:rFonts w:hint="eastAsia" w:ascii="宋体" w:hAnsi="宋体"/>
          <w:color w:val="auto"/>
          <w:sz w:val="24"/>
          <w:highlight w:val="none"/>
        </w:rPr>
        <w:t>10.1响应文件分为资格部分、商务部分和技术部分。</w:t>
      </w:r>
    </w:p>
    <w:p w14:paraId="1B171BF7">
      <w:pPr>
        <w:pStyle w:val="245"/>
        <w:widowControl/>
        <w:spacing w:line="360" w:lineRule="auto"/>
        <w:ind w:firstLine="425"/>
        <w:rPr>
          <w:rFonts w:ascii="宋体" w:hAnsi="宋体"/>
          <w:color w:val="auto"/>
          <w:sz w:val="24"/>
          <w:highlight w:val="none"/>
        </w:rPr>
      </w:pPr>
      <w:r>
        <w:rPr>
          <w:rFonts w:hint="eastAsia" w:ascii="宋体" w:hAnsi="宋体"/>
          <w:color w:val="auto"/>
          <w:sz w:val="24"/>
          <w:highlight w:val="none"/>
        </w:rPr>
        <w:t>10.2资格部分系指供应商提交的证明其有资格参加磋商的文件。</w:t>
      </w:r>
    </w:p>
    <w:p w14:paraId="331E837D">
      <w:pPr>
        <w:pStyle w:val="245"/>
        <w:widowControl/>
        <w:spacing w:line="360" w:lineRule="auto"/>
        <w:ind w:firstLine="425"/>
        <w:rPr>
          <w:rFonts w:ascii="宋体" w:hAnsi="宋体"/>
          <w:color w:val="auto"/>
          <w:sz w:val="24"/>
          <w:highlight w:val="none"/>
        </w:rPr>
      </w:pPr>
      <w:r>
        <w:rPr>
          <w:rFonts w:hint="eastAsia" w:ascii="宋体" w:hAnsi="宋体"/>
          <w:color w:val="auto"/>
          <w:sz w:val="24"/>
          <w:highlight w:val="none"/>
        </w:rPr>
        <w:t>10.3商务部分系指供应商提交的证明其成交后有能力履行合同的文件。</w:t>
      </w:r>
    </w:p>
    <w:p w14:paraId="7E6A8EE2">
      <w:pPr>
        <w:pStyle w:val="245"/>
        <w:widowControl/>
        <w:spacing w:line="360" w:lineRule="auto"/>
        <w:ind w:firstLine="425"/>
        <w:rPr>
          <w:rFonts w:ascii="宋体" w:hAnsi="宋体"/>
          <w:color w:val="auto"/>
          <w:sz w:val="24"/>
          <w:highlight w:val="none"/>
        </w:rPr>
      </w:pPr>
      <w:r>
        <w:rPr>
          <w:rFonts w:hint="eastAsia" w:ascii="宋体" w:hAnsi="宋体"/>
          <w:color w:val="auto"/>
          <w:sz w:val="24"/>
          <w:highlight w:val="none"/>
        </w:rPr>
        <w:t>10.4技术部分系指供应商提交的能够证明其提供的服务（货物）符合磋商文件规定的文件。</w:t>
      </w:r>
    </w:p>
    <w:p w14:paraId="3ACEE2FA">
      <w:pPr>
        <w:pStyle w:val="245"/>
        <w:widowControl/>
        <w:spacing w:line="360" w:lineRule="auto"/>
        <w:ind w:firstLine="425"/>
        <w:rPr>
          <w:rFonts w:ascii="宋体" w:hAnsi="宋体"/>
          <w:color w:val="auto"/>
          <w:sz w:val="24"/>
          <w:highlight w:val="none"/>
        </w:rPr>
      </w:pPr>
      <w:r>
        <w:rPr>
          <w:rFonts w:hint="eastAsia" w:ascii="宋体" w:hAnsi="宋体"/>
          <w:color w:val="auto"/>
          <w:sz w:val="24"/>
          <w:highlight w:val="none"/>
        </w:rPr>
        <w:t>10.5具体填写格式详见磋商文件第六部分。</w:t>
      </w:r>
    </w:p>
    <w:p w14:paraId="5F34916F">
      <w:pPr>
        <w:pStyle w:val="190"/>
        <w:keepNext w:val="0"/>
        <w:keepLines w:val="0"/>
        <w:spacing w:before="200" w:after="200" w:line="360" w:lineRule="auto"/>
        <w:ind w:firstLine="446"/>
        <w:rPr>
          <w:rFonts w:ascii="宋体" w:hAnsi="宋体"/>
          <w:color w:val="auto"/>
          <w:sz w:val="30"/>
          <w:highlight w:val="none"/>
        </w:rPr>
      </w:pPr>
      <w:bookmarkStart w:id="117" w:name="_Toc73364867"/>
      <w:bookmarkStart w:id="118" w:name="_Toc26282"/>
      <w:bookmarkStart w:id="119" w:name="_Toc73365480"/>
      <w:bookmarkStart w:id="120" w:name="_Toc9439"/>
      <w:bookmarkStart w:id="121" w:name="_Toc9856"/>
      <w:bookmarkStart w:id="122" w:name="_Toc32121"/>
      <w:r>
        <w:rPr>
          <w:rFonts w:hint="eastAsia" w:ascii="宋体" w:hAnsi="宋体"/>
          <w:color w:val="auto"/>
          <w:sz w:val="30"/>
          <w:highlight w:val="none"/>
        </w:rPr>
        <w:t>11．响应文件的编写</w:t>
      </w:r>
      <w:bookmarkEnd w:id="117"/>
      <w:bookmarkEnd w:id="118"/>
      <w:bookmarkEnd w:id="119"/>
      <w:bookmarkEnd w:id="120"/>
      <w:bookmarkEnd w:id="121"/>
      <w:bookmarkEnd w:id="122"/>
    </w:p>
    <w:p w14:paraId="6441833F">
      <w:pPr>
        <w:spacing w:line="360" w:lineRule="auto"/>
        <w:ind w:left="1" w:firstLine="480"/>
        <w:rPr>
          <w:rFonts w:ascii="宋体" w:hAnsi="宋体"/>
          <w:b/>
          <w:color w:val="auto"/>
          <w:sz w:val="24"/>
          <w:highlight w:val="none"/>
        </w:rPr>
      </w:pPr>
      <w:r>
        <w:rPr>
          <w:rFonts w:hint="eastAsia" w:ascii="宋体" w:hAnsi="宋体"/>
          <w:color w:val="auto"/>
          <w:sz w:val="24"/>
          <w:highlight w:val="none"/>
        </w:rPr>
        <w:t>11.1供应商应仔细阅读磋商文件，按照磋商文件的要求编制响应文件。响应文件应当对磋商文件提出的要求和条件作出明确响应。</w:t>
      </w:r>
    </w:p>
    <w:p w14:paraId="3D9CDF3F">
      <w:pPr>
        <w:spacing w:line="360" w:lineRule="auto"/>
        <w:ind w:left="1" w:firstLine="480"/>
        <w:rPr>
          <w:rFonts w:ascii="宋体" w:hAnsi="宋体"/>
          <w:b/>
          <w:color w:val="auto"/>
          <w:sz w:val="24"/>
          <w:highlight w:val="none"/>
        </w:rPr>
      </w:pPr>
      <w:r>
        <w:rPr>
          <w:rFonts w:hint="eastAsia" w:ascii="宋体" w:hAnsi="宋体"/>
          <w:color w:val="auto"/>
          <w:sz w:val="24"/>
          <w:highlight w:val="none"/>
        </w:rPr>
        <w:t>11.2</w:t>
      </w:r>
      <w:r>
        <w:rPr>
          <w:rFonts w:hint="eastAsia" w:ascii="宋体" w:hAnsi="宋体"/>
          <w:b/>
          <w:color w:val="auto"/>
          <w:sz w:val="24"/>
          <w:highlight w:val="none"/>
        </w:rPr>
        <w:t>供应商在编制响应文件时，各模块内容须填写或提交到对应位置，无相应内容可填的项应填写“无”、“没有相应指标”等明确的回答文字。</w:t>
      </w:r>
    </w:p>
    <w:p w14:paraId="67270EC5">
      <w:pPr>
        <w:spacing w:line="360" w:lineRule="auto"/>
        <w:ind w:left="1" w:firstLine="480"/>
        <w:rPr>
          <w:rFonts w:ascii="宋体" w:hAnsi="宋体"/>
          <w:color w:val="auto"/>
          <w:sz w:val="24"/>
          <w:highlight w:val="none"/>
        </w:rPr>
      </w:pPr>
      <w:r>
        <w:rPr>
          <w:rFonts w:hint="eastAsia" w:ascii="宋体" w:hAnsi="宋体"/>
          <w:color w:val="auto"/>
          <w:sz w:val="24"/>
          <w:highlight w:val="none"/>
        </w:rPr>
        <w:t>11.3响应文件编排混乱、文字表达不清或上传资料内容模糊所引起的不利后果，由供应商自行承担。</w:t>
      </w:r>
    </w:p>
    <w:p w14:paraId="7D26E58C">
      <w:pPr>
        <w:spacing w:line="360" w:lineRule="auto"/>
        <w:ind w:left="1" w:firstLine="480"/>
        <w:rPr>
          <w:rFonts w:ascii="宋体" w:hAnsi="宋体"/>
          <w:b/>
          <w:color w:val="auto"/>
          <w:sz w:val="24"/>
          <w:highlight w:val="none"/>
        </w:rPr>
      </w:pPr>
      <w:r>
        <w:rPr>
          <w:rFonts w:hint="eastAsia" w:ascii="宋体" w:hAnsi="宋体"/>
          <w:color w:val="auto"/>
          <w:sz w:val="24"/>
          <w:highlight w:val="none"/>
        </w:rPr>
        <w:t>11.4</w:t>
      </w:r>
      <w:r>
        <w:rPr>
          <w:rFonts w:hint="eastAsia" w:ascii="宋体" w:hAnsi="宋体"/>
          <w:b/>
          <w:color w:val="auto"/>
          <w:sz w:val="24"/>
          <w:highlight w:val="none"/>
        </w:rPr>
        <w:t>供应商必须保证响应文件所提供的全部资料合法、真实、可靠。</w:t>
      </w:r>
    </w:p>
    <w:p w14:paraId="4FE9E50E">
      <w:pPr>
        <w:pStyle w:val="190"/>
        <w:keepNext w:val="0"/>
        <w:keepLines w:val="0"/>
        <w:tabs>
          <w:tab w:val="left" w:pos="5191"/>
        </w:tabs>
        <w:spacing w:before="200" w:after="200" w:line="360" w:lineRule="auto"/>
        <w:ind w:firstLine="446"/>
        <w:rPr>
          <w:rFonts w:ascii="宋体" w:hAnsi="宋体"/>
          <w:color w:val="auto"/>
          <w:sz w:val="30"/>
          <w:highlight w:val="none"/>
        </w:rPr>
      </w:pPr>
      <w:bookmarkStart w:id="123" w:name="_Toc26993"/>
      <w:bookmarkStart w:id="124" w:name="_Toc73365481"/>
      <w:bookmarkStart w:id="125" w:name="_Toc7550"/>
      <w:bookmarkStart w:id="126" w:name="_Toc5031"/>
      <w:bookmarkStart w:id="127" w:name="_Toc73364868"/>
      <w:bookmarkStart w:id="128" w:name="_Toc30606"/>
      <w:r>
        <w:rPr>
          <w:rFonts w:hint="eastAsia" w:ascii="宋体" w:hAnsi="宋体"/>
          <w:color w:val="auto"/>
          <w:sz w:val="30"/>
          <w:highlight w:val="none"/>
        </w:rPr>
        <w:t>12．响应报价</w:t>
      </w:r>
      <w:bookmarkEnd w:id="123"/>
      <w:bookmarkEnd w:id="124"/>
      <w:bookmarkEnd w:id="125"/>
      <w:bookmarkEnd w:id="126"/>
      <w:bookmarkEnd w:id="127"/>
      <w:bookmarkEnd w:id="128"/>
      <w:r>
        <w:rPr>
          <w:rFonts w:ascii="宋体" w:hAnsi="宋体"/>
          <w:color w:val="auto"/>
          <w:sz w:val="30"/>
          <w:highlight w:val="none"/>
        </w:rPr>
        <w:tab/>
      </w:r>
    </w:p>
    <w:p w14:paraId="15E40143">
      <w:pPr>
        <w:spacing w:line="360" w:lineRule="auto"/>
        <w:ind w:left="2" w:firstLine="480"/>
        <w:rPr>
          <w:rFonts w:hint="eastAsia" w:ascii="宋体" w:hAnsi="宋体"/>
          <w:color w:val="auto"/>
          <w:sz w:val="24"/>
          <w:highlight w:val="none"/>
        </w:rPr>
      </w:pPr>
      <w:bookmarkStart w:id="129" w:name="EBdf1224c9869e4463a955117a0de4c3b6"/>
      <w:r>
        <w:rPr>
          <w:rFonts w:hint="eastAsia" w:ascii="宋体" w:hAnsi="宋体"/>
          <w:color w:val="auto"/>
          <w:sz w:val="24"/>
          <w:highlight w:val="none"/>
        </w:rPr>
        <w:t>12.1磋商应以人民币报价（保留至小数点后2位，四舍五入）。</w:t>
      </w:r>
    </w:p>
    <w:p w14:paraId="6C3CB12E">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12.2供应商应按磋商文件所提供的各报价表格式报价。</w:t>
      </w:r>
    </w:p>
    <w:p w14:paraId="611E0B8A">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合同成交后，综合单价不予调整，除非合同另有约定</w:t>
      </w:r>
      <w:r>
        <w:rPr>
          <w:rFonts w:hint="eastAsia" w:ascii="宋体" w:hAnsi="宋体"/>
          <w:color w:val="auto"/>
          <w:sz w:val="24"/>
          <w:highlight w:val="none"/>
        </w:rPr>
        <w:t>。合同价款调整方法在合同中约定。</w:t>
      </w:r>
    </w:p>
    <w:p w14:paraId="08F6EC2A">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12.4 每种工程量只允许有一种报价，任何有选择报价将不予接受。供应商必须对磋商文件中所采购的所有工程量进行报价，只报其中部分工程量的磋商响应文件无效。</w:t>
      </w:r>
    </w:p>
    <w:p w14:paraId="69B34D69">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12.5供应商不得将以下不可竞争费用降低标准计取：</w:t>
      </w:r>
    </w:p>
    <w:p w14:paraId="768293B4">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（1）财政、税收、物价等部门批准的税金和行政性规费；</w:t>
      </w:r>
    </w:p>
    <w:p w14:paraId="6F510EB3">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（2）磋商文件明确的有关费用比例；</w:t>
      </w:r>
    </w:p>
    <w:p w14:paraId="1D5C1517">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（3）磋商文件中已经明确固定价格的材料、采购人供应的材料及暂定暂估的费用。</w:t>
      </w:r>
    </w:p>
    <w:p w14:paraId="5CAF41BF">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12.6供应商应按磋商文件的要求在响应文件里提供磋商首轮报价，并根据首轮报价在所附的首轮明细报价表上列明所提供工程的明细报价。</w:t>
      </w:r>
    </w:p>
    <w:p w14:paraId="7017603A">
      <w:pPr>
        <w:spacing w:line="360" w:lineRule="auto"/>
        <w:ind w:left="2" w:firstLine="480"/>
        <w:rPr>
          <w:rFonts w:hint="eastAsia" w:ascii="宋体" w:hAnsi="宋体"/>
          <w:color w:val="auto"/>
          <w:sz w:val="24"/>
          <w:highlight w:val="none"/>
        </w:rPr>
      </w:pPr>
      <w:r>
        <w:rPr>
          <w:rFonts w:hint="eastAsia" w:ascii="宋体" w:hAnsi="宋体"/>
          <w:b w:val="0"/>
          <w:bCs w:val="0"/>
          <w:color w:val="auto"/>
          <w:sz w:val="24"/>
          <w:highlight w:val="none"/>
        </w:rPr>
        <w:t>12.7</w:t>
      </w:r>
      <w:r>
        <w:rPr>
          <w:rFonts w:hint="eastAsia" w:ascii="宋体" w:hAnsi="宋体"/>
          <w:color w:val="auto"/>
          <w:sz w:val="24"/>
          <w:highlight w:val="none"/>
        </w:rPr>
        <w:t>在磋商过程中未对磋商内容作出实质性变更、修改的情况下，如最后报价超过首轮报价，则最后报价无效，以其首轮报价作为最后报价。</w:t>
      </w:r>
    </w:p>
    <w:p w14:paraId="6014DC12">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w:t>
      </w:r>
      <w:r>
        <w:rPr>
          <w:rFonts w:hint="eastAsia" w:ascii="宋体" w:hAnsi="宋体"/>
          <w:color w:val="auto"/>
          <w:sz w:val="24"/>
          <w:highlight w:val="none"/>
          <w:lang w:val="en-US" w:eastAsia="zh-CN"/>
        </w:rPr>
        <w:t>8</w:t>
      </w:r>
      <w:r>
        <w:rPr>
          <w:rFonts w:hint="eastAsia" w:ascii="宋体" w:hAnsi="宋体"/>
          <w:color w:val="auto"/>
          <w:sz w:val="24"/>
          <w:highlight w:val="none"/>
        </w:rPr>
        <w:t>最低磋商报价不能作为成交的唯一保证。</w:t>
      </w:r>
    </w:p>
    <w:p w14:paraId="1B38FD95">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w:t>
      </w:r>
      <w:r>
        <w:rPr>
          <w:rFonts w:hint="eastAsia" w:ascii="宋体" w:hAnsi="宋体"/>
          <w:color w:val="auto"/>
          <w:sz w:val="24"/>
          <w:highlight w:val="none"/>
          <w:lang w:val="en-US" w:eastAsia="zh-CN"/>
        </w:rPr>
        <w:t>9</w:t>
      </w:r>
      <w:r>
        <w:rPr>
          <w:rFonts w:hint="eastAsia" w:ascii="宋体" w:hAnsi="宋体"/>
          <w:color w:val="auto"/>
          <w:sz w:val="24"/>
          <w:highlight w:val="none"/>
        </w:rPr>
        <w:t>磋商最后报价即为合同签约价。</w:t>
      </w:r>
      <w:bookmarkEnd w:id="129"/>
    </w:p>
    <w:p w14:paraId="4FB49FEE">
      <w:pPr>
        <w:pStyle w:val="190"/>
        <w:keepNext w:val="0"/>
        <w:keepLines w:val="0"/>
        <w:tabs>
          <w:tab w:val="left" w:pos="5191"/>
        </w:tabs>
        <w:spacing w:before="200" w:after="200" w:line="360" w:lineRule="auto"/>
        <w:ind w:firstLine="446"/>
        <w:rPr>
          <w:rFonts w:ascii="宋体" w:hAnsi="宋体"/>
          <w:color w:val="auto"/>
          <w:sz w:val="30"/>
          <w:highlight w:val="none"/>
        </w:rPr>
      </w:pPr>
      <w:bookmarkStart w:id="130" w:name="_Toc28263"/>
      <w:bookmarkStart w:id="131" w:name="_Toc73364869"/>
      <w:bookmarkStart w:id="132" w:name="_Toc28177"/>
      <w:bookmarkStart w:id="133" w:name="_Toc20782"/>
      <w:bookmarkStart w:id="134" w:name="_Toc73365482"/>
      <w:bookmarkStart w:id="135" w:name="_Toc24366"/>
      <w:r>
        <w:rPr>
          <w:rFonts w:hint="eastAsia" w:ascii="宋体" w:hAnsi="宋体"/>
          <w:color w:val="auto"/>
          <w:sz w:val="30"/>
          <w:highlight w:val="none"/>
        </w:rPr>
        <w:t>13．磋商保证金</w:t>
      </w:r>
      <w:bookmarkEnd w:id="130"/>
      <w:bookmarkEnd w:id="131"/>
      <w:bookmarkEnd w:id="132"/>
      <w:bookmarkEnd w:id="133"/>
      <w:bookmarkEnd w:id="134"/>
      <w:bookmarkEnd w:id="135"/>
    </w:p>
    <w:p w14:paraId="6A170771">
      <w:pPr>
        <w:spacing w:line="360" w:lineRule="auto"/>
        <w:ind w:firstLine="480"/>
        <w:rPr>
          <w:rFonts w:ascii="宋体" w:hAnsi="宋体"/>
          <w:color w:val="auto"/>
          <w:sz w:val="24"/>
          <w:highlight w:val="none"/>
        </w:rPr>
      </w:pPr>
      <w:bookmarkStart w:id="136" w:name="EBffce9a1083124a32b81da965a376b38b"/>
      <w:r>
        <w:rPr>
          <w:rFonts w:hint="eastAsia" w:ascii="宋体" w:hAnsi="宋体"/>
          <w:color w:val="auto"/>
          <w:sz w:val="24"/>
          <w:highlight w:val="none"/>
        </w:rPr>
        <w:t>13.1本项目不收磋商保证金。</w:t>
      </w:r>
      <w:bookmarkEnd w:id="136"/>
      <w:r>
        <w:rPr>
          <w:rFonts w:ascii="宋体" w:hAnsi="宋体"/>
          <w:color w:val="auto"/>
          <w:sz w:val="24"/>
          <w:highlight w:val="none"/>
        </w:rPr>
        <w:t xml:space="preserve"> </w:t>
      </w:r>
    </w:p>
    <w:p w14:paraId="7BF8FCA3">
      <w:pPr>
        <w:pStyle w:val="190"/>
        <w:keepNext w:val="0"/>
        <w:keepLines w:val="0"/>
        <w:tabs>
          <w:tab w:val="left" w:pos="5191"/>
        </w:tabs>
        <w:spacing w:before="200" w:after="200" w:line="360" w:lineRule="auto"/>
        <w:ind w:firstLine="446"/>
        <w:rPr>
          <w:rFonts w:ascii="宋体" w:hAnsi="宋体"/>
          <w:color w:val="auto"/>
          <w:sz w:val="30"/>
          <w:highlight w:val="none"/>
        </w:rPr>
      </w:pPr>
      <w:bookmarkStart w:id="137" w:name="_Toc73365483"/>
      <w:bookmarkStart w:id="138" w:name="_Toc73364870"/>
      <w:bookmarkStart w:id="139" w:name="_Toc27914"/>
      <w:bookmarkStart w:id="140" w:name="_Toc6385"/>
      <w:bookmarkStart w:id="141" w:name="_Toc20023"/>
      <w:bookmarkStart w:id="142" w:name="_Toc25874"/>
      <w:r>
        <w:rPr>
          <w:rFonts w:hint="eastAsia" w:ascii="宋体" w:hAnsi="宋体"/>
          <w:color w:val="auto"/>
          <w:sz w:val="30"/>
          <w:highlight w:val="none"/>
        </w:rPr>
        <w:t>14．磋商响应有效期</w:t>
      </w:r>
      <w:bookmarkEnd w:id="137"/>
      <w:bookmarkEnd w:id="138"/>
      <w:bookmarkEnd w:id="139"/>
      <w:bookmarkEnd w:id="140"/>
      <w:bookmarkEnd w:id="141"/>
      <w:bookmarkEnd w:id="142"/>
    </w:p>
    <w:p w14:paraId="4E4C0E06">
      <w:pPr>
        <w:spacing w:line="360" w:lineRule="auto"/>
        <w:ind w:firstLine="480"/>
        <w:rPr>
          <w:rFonts w:ascii="宋体" w:hAnsi="宋体"/>
          <w:color w:val="auto"/>
          <w:sz w:val="24"/>
          <w:highlight w:val="none"/>
        </w:rPr>
      </w:pPr>
      <w:r>
        <w:rPr>
          <w:rFonts w:hint="eastAsia" w:ascii="宋体" w:hAnsi="宋体"/>
          <w:color w:val="auto"/>
          <w:sz w:val="24"/>
          <w:highlight w:val="none"/>
        </w:rPr>
        <w:t>14.1磋商有效期为：磋商响应文件自磋商之日起</w:t>
      </w:r>
      <w:bookmarkStart w:id="143" w:name="EBe5331d116298431aa240d61d189e1ecb"/>
      <w:r>
        <w:rPr>
          <w:rFonts w:hint="eastAsia" w:ascii="宋体" w:hAnsi="宋体"/>
          <w:color w:val="auto"/>
          <w:sz w:val="24"/>
          <w:highlight w:val="none"/>
        </w:rPr>
        <w:t>45天</w:t>
      </w:r>
      <w:bookmarkEnd w:id="143"/>
      <w:r>
        <w:rPr>
          <w:rFonts w:hint="eastAsia" w:ascii="宋体" w:hAnsi="宋体"/>
          <w:color w:val="auto"/>
          <w:sz w:val="24"/>
          <w:highlight w:val="none"/>
        </w:rPr>
        <w:t>内有效。供应商一旦领取了本磋商文件并参加磋商，即被认为接受了磋商有效期的约定。</w:t>
      </w:r>
    </w:p>
    <w:p w14:paraId="1E63C8FF">
      <w:pPr>
        <w:spacing w:line="360" w:lineRule="auto"/>
        <w:ind w:firstLine="480"/>
        <w:rPr>
          <w:rFonts w:ascii="宋体" w:hAnsi="宋体"/>
          <w:color w:val="auto"/>
          <w:sz w:val="24"/>
          <w:highlight w:val="none"/>
        </w:rPr>
      </w:pPr>
      <w:r>
        <w:rPr>
          <w:rFonts w:hint="eastAsia" w:ascii="宋体" w:hAnsi="宋体"/>
          <w:color w:val="auto"/>
          <w:sz w:val="24"/>
          <w:highlight w:val="none"/>
        </w:rPr>
        <w:t>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p>
    <w:p w14:paraId="352CBCD4">
      <w:pPr>
        <w:pStyle w:val="190"/>
        <w:keepNext w:val="0"/>
        <w:keepLines w:val="0"/>
        <w:tabs>
          <w:tab w:val="left" w:pos="5191"/>
        </w:tabs>
        <w:spacing w:before="200" w:after="200" w:line="360" w:lineRule="auto"/>
        <w:ind w:firstLine="446"/>
        <w:rPr>
          <w:rFonts w:ascii="宋体" w:hAnsi="宋体"/>
          <w:color w:val="auto"/>
          <w:sz w:val="30"/>
          <w:highlight w:val="none"/>
        </w:rPr>
      </w:pPr>
      <w:bookmarkStart w:id="144" w:name="_Toc73365484"/>
      <w:bookmarkStart w:id="145" w:name="_Toc17582"/>
      <w:bookmarkStart w:id="146" w:name="_Toc13873"/>
      <w:bookmarkStart w:id="147" w:name="_Toc73364871"/>
      <w:bookmarkStart w:id="148" w:name="_Toc140"/>
      <w:bookmarkStart w:id="149" w:name="_Toc22077"/>
      <w:r>
        <w:rPr>
          <w:rFonts w:hint="eastAsia" w:ascii="宋体" w:hAnsi="宋体"/>
          <w:color w:val="auto"/>
          <w:sz w:val="30"/>
          <w:highlight w:val="none"/>
        </w:rPr>
        <w:t>15. 响应文件的式样和签署</w:t>
      </w:r>
      <w:bookmarkEnd w:id="144"/>
      <w:bookmarkEnd w:id="145"/>
      <w:bookmarkEnd w:id="146"/>
      <w:bookmarkEnd w:id="147"/>
      <w:bookmarkEnd w:id="148"/>
      <w:bookmarkEnd w:id="149"/>
    </w:p>
    <w:p w14:paraId="2E52618C">
      <w:pPr>
        <w:spacing w:line="360" w:lineRule="auto"/>
        <w:ind w:firstLine="480"/>
        <w:rPr>
          <w:rFonts w:ascii="宋体" w:hAnsi="宋体"/>
          <w:color w:val="auto"/>
          <w:sz w:val="24"/>
          <w:highlight w:val="none"/>
        </w:rPr>
      </w:pPr>
      <w:r>
        <w:rPr>
          <w:rFonts w:hint="eastAsia" w:ascii="宋体" w:hAnsi="宋体"/>
          <w:color w:val="auto"/>
          <w:sz w:val="24"/>
          <w:highlight w:val="none"/>
        </w:rPr>
        <w:t>15.1供应商应通过响应文件制作软件使用数字认证证书对响应文件进行合成、电子签章及加密打包。</w:t>
      </w:r>
    </w:p>
    <w:p w14:paraId="2875E91A">
      <w:pPr>
        <w:pStyle w:val="190"/>
        <w:keepNext w:val="0"/>
        <w:keepLines w:val="0"/>
        <w:tabs>
          <w:tab w:val="left" w:pos="5191"/>
        </w:tabs>
        <w:spacing w:before="200" w:after="200" w:line="360" w:lineRule="auto"/>
        <w:ind w:firstLine="446"/>
        <w:rPr>
          <w:rFonts w:ascii="宋体" w:hAnsi="宋体"/>
          <w:color w:val="auto"/>
          <w:sz w:val="30"/>
          <w:highlight w:val="none"/>
        </w:rPr>
      </w:pPr>
      <w:bookmarkStart w:id="150" w:name="_Toc1505"/>
      <w:bookmarkStart w:id="151" w:name="_Toc22444"/>
      <w:bookmarkStart w:id="152" w:name="_Toc73365485"/>
      <w:bookmarkStart w:id="153" w:name="_Toc73364872"/>
      <w:bookmarkStart w:id="154" w:name="_Toc30167"/>
      <w:bookmarkStart w:id="155" w:name="_Toc572"/>
      <w:r>
        <w:rPr>
          <w:rFonts w:hint="eastAsia" w:ascii="宋体" w:hAnsi="宋体"/>
          <w:color w:val="auto"/>
          <w:sz w:val="30"/>
          <w:highlight w:val="none"/>
        </w:rPr>
        <w:t>16．响应文件的提交</w:t>
      </w:r>
      <w:bookmarkEnd w:id="150"/>
      <w:bookmarkEnd w:id="151"/>
      <w:bookmarkEnd w:id="152"/>
      <w:bookmarkEnd w:id="153"/>
      <w:bookmarkEnd w:id="154"/>
      <w:bookmarkEnd w:id="155"/>
    </w:p>
    <w:p w14:paraId="16E85EA2">
      <w:pPr>
        <w:spacing w:line="360" w:lineRule="auto"/>
        <w:ind w:left="1" w:firstLine="480"/>
        <w:rPr>
          <w:rFonts w:ascii="宋体" w:hAnsi="宋体"/>
          <w:color w:val="auto"/>
          <w:sz w:val="24"/>
          <w:highlight w:val="none"/>
        </w:rPr>
      </w:pPr>
      <w:r>
        <w:rPr>
          <w:rFonts w:hint="eastAsia" w:ascii="宋体" w:hAnsi="宋体"/>
          <w:color w:val="auto"/>
          <w:sz w:val="24"/>
          <w:highlight w:val="none"/>
        </w:rPr>
        <w:t>16.1响应文件提交</w:t>
      </w:r>
    </w:p>
    <w:p w14:paraId="6C2DC40C">
      <w:pPr>
        <w:spacing w:line="360" w:lineRule="auto"/>
        <w:ind w:left="1" w:firstLine="480"/>
        <w:rPr>
          <w:rFonts w:ascii="宋体" w:hAnsi="宋体"/>
          <w:b/>
          <w:color w:val="auto"/>
          <w:sz w:val="24"/>
          <w:highlight w:val="none"/>
          <w:u w:val="single"/>
        </w:rPr>
      </w:pPr>
      <w:r>
        <w:rPr>
          <w:rFonts w:hint="eastAsia" w:ascii="宋体" w:hAnsi="宋体"/>
          <w:color w:val="auto"/>
          <w:sz w:val="24"/>
          <w:highlight w:val="none"/>
        </w:rPr>
        <w:t>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时间以电子交易平台时间为准。</w:t>
      </w:r>
    </w:p>
    <w:p w14:paraId="7E9A908A">
      <w:pPr>
        <w:spacing w:line="360" w:lineRule="auto"/>
        <w:ind w:left="1" w:firstLine="480"/>
        <w:rPr>
          <w:rFonts w:ascii="宋体" w:hAnsi="宋体"/>
          <w:b/>
          <w:color w:val="auto"/>
          <w:sz w:val="24"/>
          <w:highlight w:val="none"/>
          <w:u w:val="single"/>
        </w:rPr>
      </w:pPr>
      <w:r>
        <w:rPr>
          <w:rFonts w:hint="eastAsia" w:ascii="宋体" w:hAnsi="宋体"/>
          <w:color w:val="auto"/>
          <w:sz w:val="24"/>
          <w:highlight w:val="none"/>
        </w:rPr>
        <w:t>16.1.2</w:t>
      </w:r>
      <w:r>
        <w:rPr>
          <w:rFonts w:hint="eastAsia" w:ascii="宋体" w:hAnsi="宋体"/>
          <w:b/>
          <w:color w:val="auto"/>
          <w:sz w:val="24"/>
          <w:highlight w:val="none"/>
          <w:u w:val="single"/>
        </w:rPr>
        <w:t>截止时间以后传输的响应文件，电子交易平台将拒绝接收。供应商应充分考虑网络环境、网络带宽等风险因素。</w:t>
      </w:r>
    </w:p>
    <w:p w14:paraId="283FE02B">
      <w:pPr>
        <w:spacing w:line="360" w:lineRule="auto"/>
        <w:ind w:firstLine="480"/>
        <w:rPr>
          <w:rFonts w:ascii="宋体" w:hAnsi="宋体"/>
          <w:b/>
          <w:color w:val="auto"/>
          <w:sz w:val="24"/>
          <w:highlight w:val="none"/>
          <w:u w:val="single"/>
        </w:rPr>
      </w:pPr>
      <w:r>
        <w:rPr>
          <w:rFonts w:hint="eastAsia" w:ascii="宋体" w:hAnsi="宋体"/>
          <w:color w:val="auto"/>
          <w:sz w:val="24"/>
          <w:highlight w:val="none"/>
        </w:rPr>
        <w:t>16.1.3</w:t>
      </w:r>
      <w:r>
        <w:rPr>
          <w:rFonts w:hint="eastAsia" w:ascii="宋体" w:hAnsi="宋体"/>
          <w:b/>
          <w:color w:val="auto"/>
          <w:sz w:val="24"/>
          <w:highlight w:val="none"/>
          <w:u w:val="single"/>
        </w:rPr>
        <w:t>提交完成后至解密前，</w:t>
      </w:r>
      <w:r>
        <w:rPr>
          <w:rFonts w:hint="eastAsia" w:ascii="宋体" w:hAnsi="宋体"/>
          <w:b/>
          <w:color w:val="auto"/>
          <w:sz w:val="24"/>
          <w:szCs w:val="20"/>
          <w:highlight w:val="none"/>
          <w:u w:val="single"/>
        </w:rPr>
        <w:t>供应商</w:t>
      </w:r>
      <w:r>
        <w:rPr>
          <w:rFonts w:hint="eastAsia" w:ascii="宋体" w:hAnsi="宋体"/>
          <w:b/>
          <w:color w:val="auto"/>
          <w:sz w:val="24"/>
          <w:highlight w:val="none"/>
          <w:u w:val="single"/>
        </w:rPr>
        <w:t>不能对加密响应文件时所使用的数字认证证书进行更新、续费，否则可能引起的响应文件解密失败等相关后果由供应商自行承担。</w:t>
      </w:r>
    </w:p>
    <w:p w14:paraId="7388505F">
      <w:pPr>
        <w:spacing w:line="360" w:lineRule="auto"/>
        <w:ind w:firstLine="480"/>
        <w:rPr>
          <w:rFonts w:ascii="宋体" w:hAnsi="宋体"/>
          <w:b/>
          <w:color w:val="auto"/>
          <w:sz w:val="24"/>
          <w:highlight w:val="none"/>
          <w:u w:val="single"/>
        </w:rPr>
      </w:pPr>
      <w:r>
        <w:rPr>
          <w:rFonts w:hint="eastAsia" w:ascii="宋体" w:hAnsi="宋体"/>
          <w:color w:val="auto"/>
          <w:sz w:val="24"/>
          <w:highlight w:val="none"/>
        </w:rPr>
        <w:t>16.1.4因不可抗力事件造成的响应文件的损坏、丢失的，磋商组织方不承担责任。</w:t>
      </w:r>
    </w:p>
    <w:p w14:paraId="01AEA7D7">
      <w:pPr>
        <w:spacing w:line="360" w:lineRule="auto"/>
        <w:ind w:firstLine="480"/>
        <w:rPr>
          <w:rFonts w:ascii="宋体" w:hAnsi="宋体"/>
          <w:color w:val="auto"/>
          <w:sz w:val="24"/>
          <w:highlight w:val="none"/>
        </w:rPr>
      </w:pPr>
      <w:r>
        <w:rPr>
          <w:rFonts w:hint="eastAsia" w:ascii="宋体" w:hAnsi="宋体"/>
          <w:color w:val="auto"/>
          <w:sz w:val="24"/>
          <w:highlight w:val="none"/>
        </w:rPr>
        <w:t>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江苏省政府采购网</w:t>
      </w:r>
      <w:r>
        <w:rPr>
          <w:rFonts w:hint="eastAsia" w:ascii="宋体" w:hAnsi="宋体"/>
          <w:color w:val="auto"/>
          <w:sz w:val="24"/>
          <w:highlight w:val="none"/>
        </w:rPr>
        <w:t>”上发布公告。供应商应及时自行登录系统查看相应内容。</w:t>
      </w:r>
    </w:p>
    <w:p w14:paraId="1C5CBA48">
      <w:pPr>
        <w:pStyle w:val="190"/>
        <w:keepNext w:val="0"/>
        <w:keepLines w:val="0"/>
        <w:tabs>
          <w:tab w:val="left" w:pos="5191"/>
        </w:tabs>
        <w:spacing w:before="200" w:after="200" w:line="360" w:lineRule="auto"/>
        <w:ind w:firstLine="446"/>
        <w:rPr>
          <w:rFonts w:ascii="宋体" w:hAnsi="宋体"/>
          <w:color w:val="auto"/>
          <w:sz w:val="30"/>
          <w:highlight w:val="none"/>
        </w:rPr>
      </w:pPr>
      <w:bookmarkStart w:id="156" w:name="_Toc14762"/>
      <w:bookmarkStart w:id="157" w:name="_Toc73365486"/>
      <w:bookmarkStart w:id="158" w:name="_Toc73364873"/>
      <w:bookmarkStart w:id="159" w:name="_Toc20826"/>
      <w:bookmarkStart w:id="160" w:name="_Toc673"/>
      <w:bookmarkStart w:id="161" w:name="_Toc25070"/>
      <w:r>
        <w:rPr>
          <w:rFonts w:hint="eastAsia" w:ascii="宋体" w:hAnsi="宋体"/>
          <w:color w:val="auto"/>
          <w:sz w:val="30"/>
          <w:highlight w:val="none"/>
        </w:rPr>
        <w:t>17．响应文件的补充、修改或者撤回</w:t>
      </w:r>
      <w:bookmarkEnd w:id="156"/>
      <w:bookmarkEnd w:id="157"/>
      <w:bookmarkEnd w:id="158"/>
      <w:bookmarkEnd w:id="159"/>
      <w:bookmarkEnd w:id="160"/>
      <w:bookmarkEnd w:id="161"/>
    </w:p>
    <w:p w14:paraId="7D9808B4">
      <w:pPr>
        <w:spacing w:line="360" w:lineRule="auto"/>
        <w:ind w:firstLine="480"/>
        <w:rPr>
          <w:rFonts w:ascii="宋体" w:hAnsi="宋体"/>
          <w:color w:val="auto"/>
          <w:sz w:val="24"/>
          <w:highlight w:val="none"/>
        </w:rPr>
      </w:pPr>
      <w:r>
        <w:rPr>
          <w:rFonts w:hint="eastAsia" w:ascii="宋体" w:hAnsi="宋体"/>
          <w:color w:val="auto"/>
          <w:sz w:val="24"/>
          <w:highlight w:val="none"/>
        </w:rPr>
        <w:t>17.1</w:t>
      </w:r>
      <w:r>
        <w:rPr>
          <w:rFonts w:ascii="宋体" w:hAnsi="宋体"/>
          <w:color w:val="auto"/>
          <w:sz w:val="24"/>
          <w:highlight w:val="none"/>
        </w:rPr>
        <w:t>在提交截止时间前</w:t>
      </w:r>
      <w:r>
        <w:rPr>
          <w:rFonts w:hint="eastAsia" w:ascii="宋体" w:hAnsi="宋体"/>
          <w:color w:val="auto"/>
          <w:sz w:val="24"/>
          <w:highlight w:val="none"/>
        </w:rPr>
        <w:t>，</w:t>
      </w:r>
      <w:r>
        <w:rPr>
          <w:rFonts w:ascii="宋体" w:hAnsi="宋体"/>
          <w:color w:val="auto"/>
          <w:sz w:val="24"/>
          <w:highlight w:val="none"/>
        </w:rPr>
        <w:t>供应商可以对所</w:t>
      </w:r>
      <w:r>
        <w:rPr>
          <w:rFonts w:hint="eastAsia" w:ascii="宋体" w:hAnsi="宋体"/>
          <w:color w:val="auto"/>
          <w:sz w:val="24"/>
          <w:highlight w:val="none"/>
        </w:rPr>
        <w:t>提交</w:t>
      </w:r>
      <w:r>
        <w:rPr>
          <w:rFonts w:ascii="宋体" w:hAnsi="宋体"/>
          <w:color w:val="auto"/>
          <w:sz w:val="24"/>
          <w:highlight w:val="none"/>
        </w:rPr>
        <w:t>的电子响应文件进行撤回。</w:t>
      </w:r>
    </w:p>
    <w:p w14:paraId="3109A58A">
      <w:pPr>
        <w:spacing w:line="360" w:lineRule="auto"/>
        <w:ind w:firstLine="480"/>
        <w:rPr>
          <w:rFonts w:ascii="宋体" w:hAnsi="宋体"/>
          <w:color w:val="auto"/>
          <w:sz w:val="24"/>
          <w:highlight w:val="none"/>
        </w:rPr>
      </w:pPr>
      <w:r>
        <w:rPr>
          <w:rFonts w:hint="eastAsia" w:ascii="宋体" w:hAnsi="宋体"/>
          <w:color w:val="auto"/>
          <w:sz w:val="24"/>
          <w:highlight w:val="none"/>
        </w:rPr>
        <w:t>17.2</w:t>
      </w:r>
      <w:r>
        <w:rPr>
          <w:rFonts w:ascii="宋体" w:hAnsi="宋体"/>
          <w:color w:val="auto"/>
          <w:sz w:val="24"/>
          <w:highlight w:val="none"/>
        </w:rPr>
        <w:t>在提交截止时间前，供应商可以对所</w:t>
      </w:r>
      <w:r>
        <w:rPr>
          <w:rFonts w:hint="eastAsia" w:ascii="宋体" w:hAnsi="宋体"/>
          <w:color w:val="auto"/>
          <w:sz w:val="24"/>
          <w:highlight w:val="none"/>
        </w:rPr>
        <w:t>提交</w:t>
      </w:r>
      <w:r>
        <w:rPr>
          <w:rFonts w:ascii="宋体" w:hAnsi="宋体"/>
          <w:color w:val="auto"/>
          <w:sz w:val="24"/>
          <w:highlight w:val="none"/>
        </w:rPr>
        <w:t>的纸质响应文件进行补充、修改或者撤回，并</w:t>
      </w:r>
      <w:r>
        <w:rPr>
          <w:rFonts w:hint="eastAsia" w:ascii="宋体" w:hAnsi="宋体"/>
          <w:color w:val="auto"/>
          <w:sz w:val="24"/>
          <w:highlight w:val="none"/>
        </w:rPr>
        <w:t>书面通知磋商组织方</w:t>
      </w:r>
      <w:r>
        <w:rPr>
          <w:rFonts w:ascii="宋体" w:hAnsi="宋体"/>
          <w:color w:val="auto"/>
          <w:sz w:val="24"/>
          <w:highlight w:val="none"/>
        </w:rPr>
        <w:t>。补充、修改的内容应当</w:t>
      </w:r>
      <w:r>
        <w:rPr>
          <w:rFonts w:hint="eastAsia" w:ascii="宋体" w:hAnsi="宋体"/>
          <w:color w:val="auto"/>
          <w:sz w:val="24"/>
          <w:highlight w:val="none"/>
        </w:rPr>
        <w:t>加盖公章</w:t>
      </w:r>
      <w:r>
        <w:rPr>
          <w:rFonts w:ascii="宋体" w:hAnsi="宋体"/>
          <w:color w:val="auto"/>
          <w:sz w:val="24"/>
          <w:highlight w:val="none"/>
        </w:rPr>
        <w:t>，</w:t>
      </w:r>
      <w:r>
        <w:rPr>
          <w:rFonts w:hint="eastAsia" w:ascii="宋体" w:hAnsi="宋体"/>
          <w:color w:val="auto"/>
          <w:sz w:val="24"/>
          <w:highlight w:val="none"/>
        </w:rPr>
        <w:t>并注明“</w:t>
      </w:r>
      <w:r>
        <w:rPr>
          <w:rFonts w:ascii="宋体" w:hAnsi="宋体"/>
          <w:color w:val="auto"/>
          <w:sz w:val="24"/>
          <w:highlight w:val="none"/>
        </w:rPr>
        <w:t>补充</w:t>
      </w:r>
      <w:r>
        <w:rPr>
          <w:rFonts w:hint="eastAsia" w:ascii="宋体" w:hAnsi="宋体"/>
          <w:color w:val="auto"/>
          <w:sz w:val="24"/>
          <w:highlight w:val="none"/>
        </w:rPr>
        <w:t>”、“修改”或“撤回”字样。</w:t>
      </w:r>
      <w:r>
        <w:rPr>
          <w:rFonts w:ascii="宋体" w:hAnsi="宋体"/>
          <w:color w:val="auto"/>
          <w:sz w:val="24"/>
          <w:highlight w:val="none"/>
        </w:rPr>
        <w:t>补充、修改的内容作为响应文件的组成部分</w:t>
      </w:r>
      <w:r>
        <w:rPr>
          <w:rFonts w:hint="eastAsia" w:ascii="宋体" w:hAnsi="宋体"/>
          <w:color w:val="auto"/>
          <w:sz w:val="24"/>
          <w:highlight w:val="none"/>
        </w:rPr>
        <w:t>。</w:t>
      </w:r>
    </w:p>
    <w:p w14:paraId="6517ADB8">
      <w:pPr>
        <w:spacing w:line="360" w:lineRule="auto"/>
        <w:ind w:firstLine="480"/>
        <w:rPr>
          <w:rFonts w:ascii="宋体" w:hAnsi="宋体"/>
          <w:color w:val="auto"/>
          <w:sz w:val="24"/>
          <w:highlight w:val="none"/>
        </w:rPr>
      </w:pPr>
      <w:r>
        <w:rPr>
          <w:rFonts w:hint="eastAsia" w:ascii="宋体" w:hAnsi="宋体"/>
          <w:color w:val="auto"/>
          <w:sz w:val="24"/>
          <w:highlight w:val="none"/>
        </w:rPr>
        <w:t>17.3在提交截止时间之后，供应商不得对其响应文件作任何修改或撤回。</w:t>
      </w:r>
    </w:p>
    <w:p w14:paraId="5B7D7988">
      <w:pPr>
        <w:spacing w:line="360" w:lineRule="auto"/>
        <w:ind w:firstLine="480"/>
        <w:rPr>
          <w:color w:val="auto"/>
          <w:highlight w:val="none"/>
        </w:rPr>
      </w:pPr>
      <w:r>
        <w:rPr>
          <w:rFonts w:hint="eastAsia" w:ascii="宋体" w:hAnsi="宋体"/>
          <w:color w:val="auto"/>
          <w:sz w:val="24"/>
          <w:highlight w:val="none"/>
        </w:rPr>
        <w:t>17.4在提交截止时间至磋商文件中规定的磋商有效期满之间，供应商不得撤回其响应。</w:t>
      </w:r>
    </w:p>
    <w:p w14:paraId="09786526">
      <w:pPr>
        <w:pStyle w:val="189"/>
        <w:rPr>
          <w:rFonts w:ascii="宋体" w:hAnsi="宋体" w:eastAsia="宋体"/>
          <w:color w:val="auto"/>
          <w:sz w:val="32"/>
          <w:highlight w:val="none"/>
        </w:rPr>
      </w:pPr>
      <w:bookmarkStart w:id="162" w:name="_Toc73365487"/>
      <w:bookmarkStart w:id="163" w:name="_Toc19086"/>
      <w:bookmarkStart w:id="164" w:name="_Toc73364874"/>
      <w:r>
        <w:rPr>
          <w:rFonts w:hint="eastAsia" w:ascii="宋体" w:hAnsi="宋体" w:eastAsia="宋体"/>
          <w:color w:val="auto"/>
          <w:sz w:val="32"/>
          <w:highlight w:val="none"/>
        </w:rPr>
        <w:t>四、磋商与评审</w:t>
      </w:r>
      <w:bookmarkEnd w:id="162"/>
      <w:bookmarkEnd w:id="163"/>
      <w:bookmarkEnd w:id="164"/>
    </w:p>
    <w:p w14:paraId="16C59B18">
      <w:pPr>
        <w:pStyle w:val="190"/>
        <w:keepNext w:val="0"/>
        <w:keepLines w:val="0"/>
        <w:tabs>
          <w:tab w:val="left" w:pos="5191"/>
        </w:tabs>
        <w:spacing w:before="200" w:after="200" w:line="360" w:lineRule="auto"/>
        <w:ind w:firstLine="446"/>
        <w:rPr>
          <w:rFonts w:ascii="宋体" w:hAnsi="宋体"/>
          <w:color w:val="auto"/>
          <w:sz w:val="30"/>
          <w:highlight w:val="none"/>
        </w:rPr>
      </w:pPr>
      <w:bookmarkStart w:id="165" w:name="_Toc30218"/>
      <w:bookmarkStart w:id="166" w:name="_Toc6597"/>
      <w:bookmarkStart w:id="167" w:name="_Toc73365488"/>
      <w:bookmarkStart w:id="168" w:name="_Toc21635"/>
      <w:bookmarkStart w:id="169" w:name="_Toc73364875"/>
      <w:bookmarkStart w:id="170" w:name="_Toc7346"/>
      <w:r>
        <w:rPr>
          <w:rFonts w:hint="eastAsia" w:ascii="宋体" w:hAnsi="宋体"/>
          <w:color w:val="auto"/>
          <w:sz w:val="30"/>
          <w:highlight w:val="none"/>
        </w:rPr>
        <w:t>18．磋商</w:t>
      </w:r>
      <w:bookmarkEnd w:id="165"/>
      <w:bookmarkEnd w:id="166"/>
      <w:bookmarkEnd w:id="167"/>
      <w:bookmarkEnd w:id="168"/>
      <w:bookmarkEnd w:id="169"/>
      <w:bookmarkEnd w:id="170"/>
    </w:p>
    <w:p w14:paraId="6EDF9DBF">
      <w:pPr>
        <w:spacing w:line="360" w:lineRule="auto"/>
        <w:ind w:left="1" w:firstLine="480"/>
        <w:rPr>
          <w:rFonts w:ascii="宋体" w:hAnsi="宋体"/>
          <w:color w:val="auto"/>
          <w:sz w:val="24"/>
          <w:highlight w:val="none"/>
        </w:rPr>
      </w:pPr>
      <w:r>
        <w:rPr>
          <w:rFonts w:hint="eastAsia" w:ascii="宋体" w:hAnsi="宋体"/>
          <w:color w:val="auto"/>
          <w:sz w:val="24"/>
          <w:highlight w:val="none"/>
        </w:rPr>
        <w:t>18.1供应商应当在磋商前做好充分准备，携带CA数字证书准时参加磋商。</w:t>
      </w:r>
    </w:p>
    <w:p w14:paraId="6F5CC475">
      <w:pPr>
        <w:spacing w:line="360" w:lineRule="auto"/>
        <w:ind w:left="1" w:firstLine="480"/>
        <w:rPr>
          <w:rFonts w:ascii="宋体" w:hAnsi="宋体"/>
          <w:color w:val="auto"/>
          <w:sz w:val="24"/>
          <w:highlight w:val="none"/>
        </w:rPr>
      </w:pPr>
      <w:r>
        <w:rPr>
          <w:rFonts w:hint="eastAsia" w:ascii="宋体" w:hAnsi="宋体"/>
          <w:color w:val="auto"/>
          <w:sz w:val="24"/>
          <w:highlight w:val="none"/>
        </w:rPr>
        <w:t>18.2</w:t>
      </w:r>
      <w:r>
        <w:rPr>
          <w:rFonts w:hint="eastAsia" w:ascii="宋体" w:hAnsi="宋体"/>
          <w:b/>
          <w:color w:val="auto"/>
          <w:sz w:val="24"/>
          <w:highlight w:val="none"/>
        </w:rPr>
        <w:t>供应商不足3家，不进入解密程序。</w:t>
      </w:r>
    </w:p>
    <w:p w14:paraId="1B7ACEAB">
      <w:pPr>
        <w:spacing w:line="360" w:lineRule="auto"/>
        <w:ind w:left="1" w:firstLine="480"/>
        <w:rPr>
          <w:rFonts w:ascii="宋体" w:hAnsi="宋体"/>
          <w:color w:val="auto"/>
          <w:sz w:val="24"/>
          <w:highlight w:val="none"/>
        </w:rPr>
      </w:pPr>
      <w:r>
        <w:rPr>
          <w:rFonts w:hint="eastAsia" w:ascii="宋体" w:hAnsi="宋体"/>
          <w:color w:val="auto"/>
          <w:sz w:val="24"/>
          <w:highlight w:val="none"/>
        </w:rPr>
        <w:t>18.3</w:t>
      </w:r>
      <w:r>
        <w:rPr>
          <w:rFonts w:hint="eastAsia" w:ascii="宋体" w:hAnsi="宋体"/>
          <w:b/>
          <w:color w:val="auto"/>
          <w:sz w:val="24"/>
          <w:highlight w:val="none"/>
        </w:rPr>
        <w:t>磋商时，磋商组织方将在系统内公布供应商名单，发出解密的指令，供应商自行实施解密，限定在主持人发布解密指令后</w:t>
      </w:r>
      <w:bookmarkStart w:id="171" w:name="EBaf33e81756a940b58c69ffadb3ca2432"/>
      <w:r>
        <w:rPr>
          <w:rFonts w:hint="eastAsia" w:ascii="宋体" w:hAnsi="宋体"/>
          <w:b/>
          <w:color w:val="auto"/>
          <w:sz w:val="24"/>
          <w:highlight w:val="none"/>
          <w:lang w:val="en-US" w:eastAsia="zh-CN"/>
        </w:rPr>
        <w:t>30</w:t>
      </w:r>
      <w:r>
        <w:rPr>
          <w:rFonts w:hint="eastAsia" w:ascii="宋体" w:hAnsi="宋体"/>
          <w:b/>
          <w:color w:val="auto"/>
          <w:sz w:val="24"/>
          <w:highlight w:val="none"/>
        </w:rPr>
        <w:t>分钟</w:t>
      </w:r>
      <w:bookmarkEnd w:id="171"/>
      <w:r>
        <w:rPr>
          <w:rFonts w:hint="eastAsia" w:ascii="宋体" w:hAnsi="宋体"/>
          <w:b/>
          <w:color w:val="auto"/>
          <w:sz w:val="24"/>
          <w:highlight w:val="none"/>
        </w:rPr>
        <w:t>内完成。解密时，供应商必须使用与制作响应文件时同一数字认证证书对响应文件进行解密，否则解密将会失败。</w:t>
      </w:r>
    </w:p>
    <w:p w14:paraId="0B8DA93F">
      <w:pPr>
        <w:spacing w:line="360" w:lineRule="auto"/>
        <w:ind w:left="1" w:firstLine="482"/>
        <w:rPr>
          <w:rFonts w:ascii="宋体" w:hAnsi="宋体"/>
          <w:b/>
          <w:color w:val="auto"/>
          <w:sz w:val="24"/>
          <w:highlight w:val="none"/>
        </w:rPr>
      </w:pPr>
      <w:r>
        <w:rPr>
          <w:rFonts w:hint="eastAsia" w:ascii="宋体" w:hAnsi="宋体"/>
          <w:b/>
          <w:color w:val="auto"/>
          <w:sz w:val="24"/>
          <w:highlight w:val="none"/>
        </w:rPr>
        <w:t>18.4</w:t>
      </w:r>
      <w:r>
        <w:rPr>
          <w:rFonts w:hint="eastAsia" w:ascii="宋体" w:hAnsi="宋体"/>
          <w:color w:val="auto"/>
          <w:sz w:val="24"/>
          <w:highlight w:val="none"/>
        </w:rPr>
        <w:t>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若解密成功的供应商不足三家，不进入后续程序。</w:t>
      </w:r>
    </w:p>
    <w:p w14:paraId="556D162C">
      <w:pPr>
        <w:spacing w:line="360" w:lineRule="auto"/>
        <w:ind w:left="1" w:firstLine="480"/>
        <w:rPr>
          <w:rFonts w:ascii="宋体" w:hAnsi="宋体"/>
          <w:b/>
          <w:color w:val="auto"/>
          <w:sz w:val="24"/>
          <w:highlight w:val="none"/>
        </w:rPr>
      </w:pPr>
      <w:r>
        <w:rPr>
          <w:rFonts w:hint="eastAsia" w:ascii="宋体" w:hAnsi="宋体"/>
          <w:color w:val="auto"/>
          <w:sz w:val="24"/>
          <w:highlight w:val="none"/>
        </w:rPr>
        <w:t>18.5本项目在限定的解密时间内，只要有任一家供应商解密成功，即视为电子交易平台运行无故障。</w:t>
      </w:r>
    </w:p>
    <w:p w14:paraId="37A91195">
      <w:pPr>
        <w:spacing w:line="360" w:lineRule="auto"/>
        <w:ind w:left="1" w:firstLine="480"/>
        <w:rPr>
          <w:rFonts w:ascii="宋体" w:hAnsi="宋体"/>
          <w:color w:val="auto"/>
          <w:sz w:val="24"/>
          <w:highlight w:val="none"/>
        </w:rPr>
      </w:pPr>
      <w:r>
        <w:rPr>
          <w:rFonts w:hint="eastAsia" w:ascii="宋体" w:hAnsi="宋体"/>
          <w:color w:val="auto"/>
          <w:sz w:val="24"/>
          <w:highlight w:val="none"/>
        </w:rPr>
        <w:t>18.6供应商须配合磋商工作，否则自行承担后果。</w:t>
      </w:r>
    </w:p>
    <w:p w14:paraId="67655C93">
      <w:pPr>
        <w:pStyle w:val="190"/>
        <w:keepNext w:val="0"/>
        <w:keepLines w:val="0"/>
        <w:tabs>
          <w:tab w:val="left" w:pos="5191"/>
        </w:tabs>
        <w:spacing w:before="200" w:after="200" w:line="360" w:lineRule="auto"/>
        <w:ind w:firstLine="446"/>
        <w:rPr>
          <w:rFonts w:ascii="宋体" w:hAnsi="宋体"/>
          <w:color w:val="auto"/>
          <w:sz w:val="30"/>
          <w:highlight w:val="none"/>
        </w:rPr>
      </w:pPr>
      <w:bookmarkStart w:id="172" w:name="_Toc27031"/>
      <w:bookmarkStart w:id="173" w:name="_Toc9250"/>
      <w:bookmarkStart w:id="174" w:name="_Toc19540"/>
      <w:bookmarkStart w:id="175" w:name="_Toc73364876"/>
      <w:bookmarkStart w:id="176" w:name="_Toc3596"/>
      <w:bookmarkStart w:id="177" w:name="_Toc73365489"/>
      <w:r>
        <w:rPr>
          <w:rFonts w:hint="eastAsia" w:ascii="宋体" w:hAnsi="宋体"/>
          <w:color w:val="auto"/>
          <w:sz w:val="30"/>
          <w:highlight w:val="none"/>
        </w:rPr>
        <w:t>19．磋商小组组成</w:t>
      </w:r>
      <w:bookmarkEnd w:id="172"/>
      <w:bookmarkEnd w:id="173"/>
      <w:bookmarkEnd w:id="174"/>
      <w:bookmarkEnd w:id="175"/>
      <w:bookmarkEnd w:id="176"/>
      <w:bookmarkEnd w:id="177"/>
    </w:p>
    <w:p w14:paraId="7A996276">
      <w:pPr>
        <w:spacing w:line="360" w:lineRule="auto"/>
        <w:ind w:firstLine="480"/>
        <w:rPr>
          <w:rFonts w:ascii="宋体" w:hAnsi="宋体"/>
          <w:color w:val="auto"/>
          <w:sz w:val="24"/>
          <w:highlight w:val="none"/>
        </w:rPr>
      </w:pPr>
      <w:r>
        <w:rPr>
          <w:rFonts w:hint="eastAsia" w:ascii="宋体" w:hAnsi="宋体"/>
          <w:color w:val="auto"/>
          <w:sz w:val="24"/>
          <w:highlight w:val="none"/>
        </w:rPr>
        <w:t>19.1磋商小组将由采购人代表和评审专家组成，成员人数为3人或3人以上单数。</w:t>
      </w:r>
    </w:p>
    <w:p w14:paraId="501B3D0B">
      <w:pPr>
        <w:pStyle w:val="190"/>
        <w:keepNext w:val="0"/>
        <w:keepLines w:val="0"/>
        <w:tabs>
          <w:tab w:val="left" w:pos="5191"/>
        </w:tabs>
        <w:spacing w:before="200" w:after="200" w:line="360" w:lineRule="auto"/>
        <w:ind w:firstLine="446"/>
        <w:rPr>
          <w:rFonts w:ascii="宋体" w:hAnsi="宋体"/>
          <w:color w:val="auto"/>
          <w:sz w:val="30"/>
          <w:highlight w:val="none"/>
        </w:rPr>
      </w:pPr>
      <w:bookmarkStart w:id="178" w:name="_Toc27996"/>
      <w:bookmarkStart w:id="179" w:name="_Toc22071"/>
      <w:bookmarkStart w:id="180" w:name="_Toc6099"/>
      <w:bookmarkStart w:id="181" w:name="_Toc5665"/>
      <w:bookmarkStart w:id="182" w:name="_Toc73364877"/>
      <w:bookmarkStart w:id="183" w:name="_Toc73365490"/>
      <w:r>
        <w:rPr>
          <w:rFonts w:hint="eastAsia" w:ascii="宋体" w:hAnsi="宋体"/>
          <w:color w:val="auto"/>
          <w:sz w:val="30"/>
          <w:highlight w:val="none"/>
        </w:rPr>
        <w:t>20．无效磋商的情形</w:t>
      </w:r>
      <w:bookmarkEnd w:id="178"/>
      <w:bookmarkEnd w:id="179"/>
      <w:bookmarkEnd w:id="180"/>
      <w:bookmarkEnd w:id="181"/>
      <w:bookmarkEnd w:id="182"/>
      <w:bookmarkEnd w:id="183"/>
    </w:p>
    <w:p w14:paraId="044F432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供应商存在下列情况之一的，其磋商无效：</w:t>
      </w:r>
      <w:bookmarkStart w:id="184" w:name="EB0bc0853cf1b84ccfa7d372107d18749a"/>
    </w:p>
    <w:p w14:paraId="7F2998D0">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（1）响应文件未按磋商文件要求签署、盖章的；    </w:t>
      </w:r>
    </w:p>
    <w:p w14:paraId="11ECB314">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（2）不具备磋商文件中规定的资格要求的；    </w:t>
      </w:r>
    </w:p>
    <w:p w14:paraId="6823593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（3）首轮报价或最终报价超过磋商文件中规定的最高限价的；    </w:t>
      </w:r>
    </w:p>
    <w:p w14:paraId="47BEBC2A">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（4）响应文件含有采购人不能接受的附加条件的</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    </w:t>
      </w:r>
    </w:p>
    <w:p w14:paraId="292D8283">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（5）供应商存在串通磋商情形的；    </w:t>
      </w:r>
    </w:p>
    <w:p w14:paraId="4E1150E7">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（6）如有委托代理人，未提供供应商为其缴纳社保证明材料的；    </w:t>
      </w:r>
    </w:p>
    <w:p w14:paraId="29A7064E">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（7）不同供应商的单位负责人为同一人或者存在直接控股、管理关系的；    </w:t>
      </w:r>
    </w:p>
    <w:p w14:paraId="2F2CDDDB">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（8）响应文件中提供了虚假或失实资料的；    </w:t>
      </w:r>
    </w:p>
    <w:p w14:paraId="16925BA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（9）“信用中国”网站、中国政府采购网、“信用江苏”网站查询结果为失信被执行人名单、重大税收违法案件当事人名单、政府采购严重违法失信行为名单的；</w:t>
      </w:r>
    </w:p>
    <w:p w14:paraId="35440988">
      <w:pPr>
        <w:spacing w:line="360" w:lineRule="auto"/>
        <w:ind w:firstLine="48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（10）为本项目提供整体设计、规范编制或者项目管理、监理、检测等服务的；</w:t>
      </w:r>
    </w:p>
    <w:p w14:paraId="424F737E">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（11）未在提交截止时间前提交有效加密文件的；</w:t>
      </w:r>
    </w:p>
    <w:p w14:paraId="4569AC2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（12）由于供应商原因，未在规定时间内对响应文件进行有效解密的；  </w:t>
      </w:r>
    </w:p>
    <w:p w14:paraId="7F62597C">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（13）</w:t>
      </w:r>
      <w:r>
        <w:rPr>
          <w:rFonts w:hint="eastAsia" w:ascii="宋体" w:hAnsi="宋体" w:eastAsia="宋体" w:cs="Times New Roman"/>
          <w:color w:val="auto"/>
          <w:sz w:val="24"/>
          <w:highlight w:val="none"/>
          <w:lang w:eastAsia="zh-CN"/>
        </w:rPr>
        <w:t>供应商投标报价</w:t>
      </w:r>
      <w:r>
        <w:rPr>
          <w:rFonts w:hint="eastAsia" w:ascii="宋体" w:hAnsi="宋体" w:eastAsia="宋体" w:cs="Times New Roman"/>
          <w:color w:val="auto"/>
          <w:sz w:val="24"/>
          <w:highlight w:val="none"/>
          <w:rtl w:val="0"/>
          <w:lang w:val="en-US" w:eastAsia="zh-CN"/>
        </w:rPr>
        <w:t>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投标报价</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   </w:t>
      </w:r>
    </w:p>
    <w:p w14:paraId="71598630">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（14）未参与最终报价的供应商会被系统自动判定为无效响应</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 </w:t>
      </w:r>
    </w:p>
    <w:p w14:paraId="5E691680">
      <w:pPr>
        <w:keepNext w:val="0"/>
        <w:keepLines w:val="0"/>
        <w:pageBreakBefore w:val="0"/>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b w:val="0"/>
          <w:bCs w:val="0"/>
          <w:color w:val="auto"/>
          <w:sz w:val="24"/>
          <w:highlight w:val="none"/>
        </w:rPr>
        <w:t>（15）</w:t>
      </w:r>
      <w:r>
        <w:rPr>
          <w:rFonts w:hint="eastAsia" w:ascii="宋体" w:hAnsi="宋体" w:eastAsia="宋体" w:cs="Times New Roman"/>
          <w:b/>
          <w:bCs/>
          <w:color w:val="auto"/>
          <w:sz w:val="24"/>
          <w:highlight w:val="none"/>
        </w:rPr>
        <w:t>符合磋商文件“第五部分  磋商及评审”中“磋商响应文件的有效性、完整性和响应程度审查”中规定的异常低价投标情形</w:t>
      </w:r>
      <w:r>
        <w:rPr>
          <w:rFonts w:hint="eastAsia" w:ascii="宋体" w:hAnsi="宋体" w:eastAsia="宋体" w:cs="楷体"/>
          <w:b/>
          <w:bCs/>
          <w:color w:val="auto"/>
          <w:sz w:val="24"/>
          <w:highlight w:val="none"/>
          <w:lang w:eastAsia="zh-CN"/>
        </w:rPr>
        <w:t>；</w:t>
      </w:r>
    </w:p>
    <w:p w14:paraId="659953E5">
      <w:pPr>
        <w:spacing w:line="360" w:lineRule="auto"/>
        <w:ind w:firstLine="480"/>
        <w:rPr>
          <w:rFonts w:hint="eastAsia" w:ascii="宋体" w:hAnsi="宋体"/>
          <w:b/>
          <w:color w:val="auto"/>
          <w:sz w:val="24"/>
          <w:highlight w:val="none"/>
        </w:rPr>
      </w:pPr>
      <w:r>
        <w:rPr>
          <w:rFonts w:hint="eastAsia" w:ascii="宋体" w:hAnsi="宋体" w:eastAsia="宋体" w:cs="Times New Roman"/>
          <w:color w:val="auto"/>
          <w:sz w:val="24"/>
          <w:highlight w:val="none"/>
        </w:rPr>
        <w:t>（16）不符合法律、法规和磋商文件规定的其它实质性条款（须经磋商小组半数以上同意</w:t>
      </w:r>
      <w:bookmarkEnd w:id="184"/>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    </w:t>
      </w:r>
    </w:p>
    <w:p w14:paraId="3426BD18">
      <w:pPr>
        <w:pStyle w:val="190"/>
        <w:keepNext w:val="0"/>
        <w:keepLines w:val="0"/>
        <w:tabs>
          <w:tab w:val="left" w:pos="5191"/>
        </w:tabs>
        <w:spacing w:before="200" w:after="200" w:line="360" w:lineRule="auto"/>
        <w:ind w:firstLine="446"/>
        <w:rPr>
          <w:rFonts w:ascii="宋体" w:hAnsi="宋体"/>
          <w:color w:val="auto"/>
          <w:sz w:val="30"/>
          <w:highlight w:val="none"/>
        </w:rPr>
      </w:pPr>
      <w:bookmarkStart w:id="185" w:name="_Toc4528"/>
      <w:bookmarkStart w:id="186" w:name="_Toc24970"/>
      <w:bookmarkStart w:id="187" w:name="_Toc14950"/>
      <w:bookmarkStart w:id="188" w:name="_Toc22482"/>
      <w:bookmarkStart w:id="189" w:name="_Toc73365491"/>
      <w:bookmarkStart w:id="190" w:name="_Toc73364878"/>
      <w:r>
        <w:rPr>
          <w:rFonts w:hint="eastAsia" w:ascii="宋体" w:hAnsi="宋体"/>
          <w:color w:val="auto"/>
          <w:sz w:val="30"/>
          <w:highlight w:val="none"/>
        </w:rPr>
        <w:t>21．串通磋商的情形</w:t>
      </w:r>
      <w:bookmarkEnd w:id="185"/>
      <w:bookmarkEnd w:id="186"/>
      <w:bookmarkEnd w:id="187"/>
      <w:bookmarkEnd w:id="188"/>
      <w:bookmarkEnd w:id="189"/>
      <w:bookmarkEnd w:id="190"/>
    </w:p>
    <w:p w14:paraId="082601BA">
      <w:pPr>
        <w:spacing w:line="360" w:lineRule="auto"/>
        <w:ind w:firstLine="480"/>
        <w:rPr>
          <w:rFonts w:ascii="宋体" w:hAnsi="宋体"/>
          <w:color w:val="auto"/>
          <w:sz w:val="24"/>
          <w:highlight w:val="none"/>
        </w:rPr>
      </w:pPr>
      <w:r>
        <w:rPr>
          <w:rFonts w:hint="eastAsia" w:ascii="宋体" w:hAnsi="宋体"/>
          <w:color w:val="auto"/>
          <w:sz w:val="24"/>
          <w:highlight w:val="none"/>
        </w:rPr>
        <w:t>有下列情形之一的，视为供应商串通磋商，磋商无效：</w:t>
      </w:r>
    </w:p>
    <w:p w14:paraId="1F9D6478">
      <w:pPr>
        <w:spacing w:line="360" w:lineRule="auto"/>
        <w:ind w:firstLine="480"/>
        <w:rPr>
          <w:rFonts w:ascii="宋体" w:hAnsi="宋体"/>
          <w:color w:val="auto"/>
          <w:sz w:val="24"/>
          <w:highlight w:val="none"/>
        </w:rPr>
      </w:pPr>
      <w:r>
        <w:rPr>
          <w:rFonts w:hint="eastAsia" w:ascii="宋体" w:hAnsi="宋体"/>
          <w:color w:val="auto"/>
          <w:sz w:val="24"/>
          <w:highlight w:val="none"/>
        </w:rPr>
        <w:t>（1）不同供应商的响应文件由同一单位或者个人编制；</w:t>
      </w:r>
    </w:p>
    <w:p w14:paraId="79C3E0BE">
      <w:pPr>
        <w:spacing w:line="360" w:lineRule="auto"/>
        <w:ind w:firstLine="480"/>
        <w:rPr>
          <w:rFonts w:ascii="宋体" w:hAnsi="宋体"/>
          <w:color w:val="auto"/>
          <w:sz w:val="24"/>
          <w:highlight w:val="none"/>
        </w:rPr>
      </w:pPr>
      <w:r>
        <w:rPr>
          <w:rFonts w:hint="eastAsia" w:ascii="宋体" w:hAnsi="宋体"/>
          <w:color w:val="auto"/>
          <w:sz w:val="24"/>
          <w:highlight w:val="none"/>
        </w:rPr>
        <w:t>（2）不同供应商委托同一单位或者个人办理磋商事宜；</w:t>
      </w:r>
    </w:p>
    <w:p w14:paraId="299652CB">
      <w:pPr>
        <w:spacing w:line="360" w:lineRule="auto"/>
        <w:ind w:firstLine="480"/>
        <w:rPr>
          <w:rFonts w:ascii="宋体" w:hAnsi="宋体"/>
          <w:color w:val="auto"/>
          <w:sz w:val="24"/>
          <w:highlight w:val="none"/>
        </w:rPr>
      </w:pPr>
      <w:r>
        <w:rPr>
          <w:rFonts w:hint="eastAsia" w:ascii="宋体" w:hAnsi="宋体"/>
          <w:color w:val="auto"/>
          <w:sz w:val="24"/>
          <w:highlight w:val="none"/>
        </w:rPr>
        <w:t>（3）不同供应商的响应文件载明的项目管理成员或者联系人员为同一人；</w:t>
      </w:r>
    </w:p>
    <w:p w14:paraId="6C731BC9">
      <w:pPr>
        <w:spacing w:line="360" w:lineRule="auto"/>
        <w:ind w:firstLine="480"/>
        <w:rPr>
          <w:rFonts w:ascii="宋体" w:hAnsi="宋体"/>
          <w:color w:val="auto"/>
          <w:sz w:val="24"/>
          <w:highlight w:val="none"/>
        </w:rPr>
      </w:pPr>
      <w:r>
        <w:rPr>
          <w:rFonts w:hint="eastAsia" w:ascii="宋体" w:hAnsi="宋体"/>
          <w:color w:val="auto"/>
          <w:sz w:val="24"/>
          <w:highlight w:val="none"/>
        </w:rPr>
        <w:t>（4）不同供应商的响应文件异常一致或者磋商报价呈规律性差异；</w:t>
      </w:r>
    </w:p>
    <w:p w14:paraId="28B93AC5">
      <w:pPr>
        <w:spacing w:line="360" w:lineRule="auto"/>
        <w:ind w:firstLine="480"/>
        <w:rPr>
          <w:rFonts w:ascii="宋体" w:hAnsi="宋体"/>
          <w:color w:val="auto"/>
          <w:sz w:val="24"/>
          <w:highlight w:val="none"/>
        </w:rPr>
      </w:pPr>
      <w:r>
        <w:rPr>
          <w:rFonts w:hint="eastAsia" w:ascii="宋体" w:hAnsi="宋体"/>
          <w:color w:val="auto"/>
          <w:sz w:val="24"/>
          <w:highlight w:val="none"/>
        </w:rPr>
        <w:t>（5）不同供应商的响应文件相互混装。</w:t>
      </w:r>
    </w:p>
    <w:p w14:paraId="2D2872AA">
      <w:pPr>
        <w:pStyle w:val="190"/>
        <w:keepNext w:val="0"/>
        <w:keepLines w:val="0"/>
        <w:tabs>
          <w:tab w:val="left" w:pos="5191"/>
        </w:tabs>
        <w:spacing w:before="200" w:after="200" w:line="360" w:lineRule="auto"/>
        <w:ind w:firstLine="446"/>
        <w:rPr>
          <w:rFonts w:ascii="宋体" w:hAnsi="宋体"/>
          <w:color w:val="auto"/>
          <w:sz w:val="30"/>
          <w:highlight w:val="none"/>
        </w:rPr>
      </w:pPr>
      <w:bookmarkStart w:id="191" w:name="_Toc17170"/>
      <w:bookmarkStart w:id="192" w:name="_Toc73364879"/>
      <w:bookmarkStart w:id="193" w:name="_Toc3174"/>
      <w:bookmarkStart w:id="194" w:name="_Toc10981"/>
      <w:bookmarkStart w:id="195" w:name="_Toc31219"/>
      <w:bookmarkStart w:id="196" w:name="_Toc73365492"/>
      <w:r>
        <w:rPr>
          <w:rFonts w:hint="eastAsia" w:ascii="宋体" w:hAnsi="宋体"/>
          <w:color w:val="auto"/>
          <w:sz w:val="30"/>
          <w:highlight w:val="none"/>
        </w:rPr>
        <w:t>22．响应文件的澄清</w:t>
      </w:r>
      <w:bookmarkEnd w:id="191"/>
      <w:bookmarkEnd w:id="192"/>
      <w:bookmarkEnd w:id="193"/>
      <w:bookmarkEnd w:id="194"/>
      <w:bookmarkEnd w:id="195"/>
      <w:bookmarkEnd w:id="196"/>
    </w:p>
    <w:p w14:paraId="20AC9C99">
      <w:pPr>
        <w:spacing w:line="360" w:lineRule="auto"/>
        <w:ind w:firstLine="480"/>
        <w:rPr>
          <w:color w:val="auto"/>
          <w:highlight w:val="none"/>
        </w:rPr>
      </w:pPr>
      <w:r>
        <w:rPr>
          <w:rFonts w:hint="eastAsia" w:ascii="宋体" w:hAnsi="宋体"/>
          <w:color w:val="auto"/>
          <w:sz w:val="24"/>
          <w:highlight w:val="none"/>
        </w:rPr>
        <w:t>22.1供应商应根据磋商小组要求对相关问题进行澄清、说明或者补正，并加盖公章。供应商的澄清、说明或者补正不得超出响应文件的范围或者改变响应文件的实质性内容。</w:t>
      </w:r>
    </w:p>
    <w:p w14:paraId="31B136E0">
      <w:pPr>
        <w:pStyle w:val="190"/>
        <w:keepNext w:val="0"/>
        <w:keepLines w:val="0"/>
        <w:tabs>
          <w:tab w:val="left" w:pos="5191"/>
        </w:tabs>
        <w:spacing w:before="200" w:after="200" w:line="360" w:lineRule="auto"/>
        <w:ind w:firstLine="446"/>
        <w:rPr>
          <w:rFonts w:hint="eastAsia" w:ascii="宋体" w:hAnsi="宋体" w:eastAsia="宋体"/>
          <w:color w:val="auto"/>
          <w:sz w:val="30"/>
          <w:highlight w:val="none"/>
          <w:lang w:eastAsia="zh-CN"/>
        </w:rPr>
      </w:pPr>
      <w:bookmarkStart w:id="197" w:name="_Toc16722"/>
      <w:bookmarkStart w:id="198" w:name="_Toc73364880"/>
      <w:bookmarkStart w:id="199" w:name="_Toc2985"/>
      <w:bookmarkStart w:id="200" w:name="_Toc73365493"/>
      <w:bookmarkStart w:id="201" w:name="_Toc6435"/>
      <w:bookmarkStart w:id="202" w:name="_Toc4089"/>
      <w:r>
        <w:rPr>
          <w:rFonts w:hint="eastAsia" w:ascii="宋体" w:hAnsi="宋体"/>
          <w:color w:val="auto"/>
          <w:sz w:val="30"/>
          <w:highlight w:val="none"/>
        </w:rPr>
        <w:t>23．磋商</w:t>
      </w:r>
      <w:bookmarkEnd w:id="197"/>
      <w:bookmarkEnd w:id="198"/>
      <w:bookmarkEnd w:id="199"/>
      <w:bookmarkEnd w:id="200"/>
      <w:bookmarkEnd w:id="201"/>
      <w:r>
        <w:rPr>
          <w:rFonts w:hint="eastAsia" w:ascii="宋体" w:hAnsi="宋体"/>
          <w:color w:val="auto"/>
          <w:sz w:val="30"/>
          <w:highlight w:val="none"/>
          <w:lang w:eastAsia="zh-CN"/>
        </w:rPr>
        <w:t>程序</w:t>
      </w:r>
      <w:bookmarkEnd w:id="202"/>
    </w:p>
    <w:p w14:paraId="1D483B0B">
      <w:pPr>
        <w:spacing w:line="360" w:lineRule="auto"/>
        <w:ind w:left="1" w:firstLine="480"/>
        <w:rPr>
          <w:rFonts w:hint="eastAsia" w:ascii="宋体" w:hAnsi="宋体"/>
          <w:color w:val="auto"/>
          <w:sz w:val="24"/>
          <w:highlight w:val="none"/>
          <w:lang w:val="zh-CN"/>
        </w:rPr>
      </w:pPr>
      <w:r>
        <w:rPr>
          <w:rFonts w:hint="eastAsia" w:ascii="宋体" w:hAnsi="宋体"/>
          <w:color w:val="auto"/>
          <w:sz w:val="24"/>
          <w:highlight w:val="none"/>
        </w:rPr>
        <w:t>23.1</w:t>
      </w:r>
      <w:r>
        <w:rPr>
          <w:rFonts w:hint="eastAsia" w:ascii="宋体" w:hAnsi="宋体"/>
          <w:color w:val="auto"/>
          <w:sz w:val="24"/>
          <w:highlight w:val="none"/>
          <w:lang w:val="zh-CN"/>
        </w:rPr>
        <w:t xml:space="preserve"> 磋商小组审阅供应商所递交的响应文件，凡不具备资格条件的供应商不得进入磋商程序。</w:t>
      </w:r>
    </w:p>
    <w:p w14:paraId="6C7966DE">
      <w:pPr>
        <w:spacing w:line="360" w:lineRule="auto"/>
        <w:ind w:left="1" w:firstLine="480"/>
        <w:rPr>
          <w:rFonts w:hint="eastAsia" w:ascii="宋体" w:hAnsi="宋体"/>
          <w:color w:val="auto"/>
          <w:sz w:val="24"/>
          <w:highlight w:val="none"/>
          <w:lang w:val="zh-CN"/>
        </w:rPr>
      </w:pPr>
      <w:r>
        <w:rPr>
          <w:rFonts w:hint="eastAsia" w:ascii="宋体" w:hAnsi="宋体"/>
          <w:color w:val="auto"/>
          <w:sz w:val="24"/>
          <w:highlight w:val="none"/>
          <w:lang w:val="en-US" w:eastAsia="zh-CN"/>
        </w:rPr>
        <w:t>23</w:t>
      </w:r>
      <w:r>
        <w:rPr>
          <w:rFonts w:hint="eastAsia" w:ascii="宋体" w:hAnsi="宋体"/>
          <w:color w:val="auto"/>
          <w:sz w:val="24"/>
          <w:highlight w:val="none"/>
          <w:lang w:val="zh-CN"/>
        </w:rPr>
        <w:t>.2 磋商小组将与通过资格审查和符合性审查的供应商分别进行磋商。磋商小组通过“苏采云”系统向供应商发出《磋商函》，供应商应当按照要求在“苏采云”系统提交《磋商响应函》并加盖电子公章。</w:t>
      </w:r>
    </w:p>
    <w:p w14:paraId="1F2D2445">
      <w:pPr>
        <w:spacing w:line="360" w:lineRule="auto"/>
        <w:ind w:left="1" w:firstLine="480"/>
        <w:rPr>
          <w:rFonts w:hint="eastAsia" w:ascii="宋体" w:hAnsi="宋体"/>
          <w:color w:val="auto"/>
          <w:sz w:val="24"/>
          <w:highlight w:val="none"/>
          <w:lang w:val="zh-CN"/>
        </w:rPr>
      </w:pPr>
      <w:r>
        <w:rPr>
          <w:rFonts w:hint="eastAsia" w:ascii="宋体" w:hAnsi="宋体"/>
          <w:color w:val="auto"/>
          <w:sz w:val="24"/>
          <w:highlight w:val="none"/>
          <w:lang w:val="zh-CN"/>
        </w:rPr>
        <w:t>23.3 磋商过程中，磋商小组可以根据磋商文件和磋商情况实质性变动采购需求中的技术、服务要求以及合同草案条款，但不得变动磋商文件中的其他内容。实质性变动的内容，须经采购人代表确认。</w:t>
      </w:r>
    </w:p>
    <w:p w14:paraId="23D7F9D7">
      <w:pPr>
        <w:spacing w:line="360" w:lineRule="auto"/>
        <w:ind w:left="1" w:firstLine="480"/>
        <w:rPr>
          <w:rFonts w:hint="eastAsia" w:ascii="宋体" w:hAnsi="宋体"/>
          <w:color w:val="auto"/>
          <w:sz w:val="24"/>
          <w:highlight w:val="none"/>
          <w:lang w:val="zh-CN"/>
        </w:rPr>
      </w:pPr>
      <w:r>
        <w:rPr>
          <w:rFonts w:hint="eastAsia" w:ascii="宋体" w:hAnsi="宋体"/>
          <w:color w:val="auto"/>
          <w:sz w:val="24"/>
          <w:highlight w:val="none"/>
          <w:lang w:val="zh-CN"/>
        </w:rPr>
        <w:t>对磋商文件作出的实质性变动是磋商文件的有效组成部分，磋商小组应当及时以书面形式同时通知所有参加磋商的供应商。</w:t>
      </w:r>
    </w:p>
    <w:p w14:paraId="48ECF097">
      <w:pPr>
        <w:spacing w:line="360" w:lineRule="auto"/>
        <w:ind w:left="1" w:firstLine="480"/>
        <w:rPr>
          <w:rFonts w:hint="eastAsia" w:ascii="宋体" w:hAnsi="宋体"/>
          <w:color w:val="auto"/>
          <w:sz w:val="24"/>
          <w:highlight w:val="none"/>
          <w:lang w:val="zh-CN"/>
        </w:rPr>
      </w:pPr>
      <w:r>
        <w:rPr>
          <w:rFonts w:hint="eastAsia" w:ascii="宋体" w:hAnsi="宋体"/>
          <w:color w:val="auto"/>
          <w:sz w:val="24"/>
          <w:highlight w:val="none"/>
          <w:lang w:val="zh-CN"/>
        </w:rPr>
        <w:t>23.4 如磋商文件有实质性变动的，供应商应当按照磋商文件的变动情况和磋商小组的要求在苏采云系统中重新提交响应文件，并加盖电子公章。</w:t>
      </w:r>
    </w:p>
    <w:p w14:paraId="65116883">
      <w:pPr>
        <w:spacing w:line="360" w:lineRule="auto"/>
        <w:ind w:left="1" w:firstLine="480"/>
        <w:rPr>
          <w:rFonts w:hint="eastAsia" w:ascii="宋体" w:hAnsi="宋体"/>
          <w:color w:val="auto"/>
          <w:sz w:val="24"/>
          <w:highlight w:val="none"/>
        </w:rPr>
      </w:pPr>
      <w:r>
        <w:rPr>
          <w:rFonts w:hint="eastAsia" w:ascii="宋体" w:hAnsi="宋体"/>
          <w:color w:val="auto"/>
          <w:sz w:val="24"/>
          <w:highlight w:val="none"/>
          <w:lang w:eastAsia="zh-CN"/>
        </w:rPr>
        <w:t>23.</w:t>
      </w:r>
      <w:r>
        <w:rPr>
          <w:rFonts w:hint="eastAsia" w:ascii="宋体" w:hAnsi="宋体"/>
          <w:color w:val="auto"/>
          <w:sz w:val="24"/>
          <w:highlight w:val="none"/>
        </w:rPr>
        <w:t xml:space="preserve">5 </w:t>
      </w:r>
      <w:r>
        <w:rPr>
          <w:rFonts w:hint="eastAsia" w:ascii="宋体" w:hAnsi="宋体"/>
          <w:color w:val="auto"/>
          <w:sz w:val="24"/>
          <w:highlight w:val="none"/>
          <w:lang w:val="zh-CN"/>
        </w:rPr>
        <w:t>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提交最后报价的供应商不得少于3家</w:t>
      </w:r>
      <w:r>
        <w:rPr>
          <w:rFonts w:hint="eastAsia" w:ascii="宋体" w:hAnsi="宋体"/>
          <w:color w:val="auto"/>
          <w:sz w:val="24"/>
          <w:highlight w:val="none"/>
          <w:lang w:val="zh-CN"/>
        </w:rPr>
        <w:t>。最后报价是供应商响应文件的有效组成部分，</w:t>
      </w:r>
      <w:r>
        <w:rPr>
          <w:rFonts w:hint="eastAsia" w:ascii="宋体" w:hAnsi="宋体"/>
          <w:color w:val="auto"/>
          <w:sz w:val="24"/>
          <w:highlight w:val="none"/>
        </w:rPr>
        <w:t>除项目扩大了供货范围，增加了采购内容、提高了技术要求外，原则上不得高于上一轮报价</w:t>
      </w:r>
      <w:r>
        <w:rPr>
          <w:rFonts w:hint="eastAsia" w:ascii="宋体" w:hAnsi="宋体"/>
          <w:color w:val="auto"/>
          <w:sz w:val="24"/>
          <w:highlight w:val="none"/>
          <w:lang w:val="zh-CN"/>
        </w:rPr>
        <w:t>。符合《政府采购竞争性磋商采购方式理暂行办法》第三条第四项及《财政部关于竞争性磋商采购方式管理暂行办法有关问题的补充通知》（财库〔2015〕124号）规定情形的，提交最后报价的供应商可以为2家。</w:t>
      </w:r>
    </w:p>
    <w:p w14:paraId="3D1C02BF">
      <w:pPr>
        <w:spacing w:line="360" w:lineRule="auto"/>
        <w:ind w:left="1" w:firstLine="480"/>
        <w:rPr>
          <w:rFonts w:ascii="宋体" w:hAnsi="宋体"/>
          <w:color w:val="auto"/>
          <w:sz w:val="24"/>
          <w:highlight w:val="none"/>
        </w:rPr>
      </w:pPr>
      <w:r>
        <w:rPr>
          <w:rFonts w:hint="eastAsia" w:ascii="宋体" w:hAnsi="宋体"/>
          <w:color w:val="auto"/>
          <w:sz w:val="24"/>
          <w:highlight w:val="none"/>
          <w:lang w:eastAsia="zh-CN"/>
        </w:rPr>
        <w:t>23.</w:t>
      </w:r>
      <w:r>
        <w:rPr>
          <w:rFonts w:hint="eastAsia" w:ascii="宋体" w:hAnsi="宋体"/>
          <w:color w:val="auto"/>
          <w:sz w:val="24"/>
          <w:highlight w:val="none"/>
        </w:rPr>
        <w:t>6 供应商未在磋商小组规定的时间内在</w:t>
      </w:r>
      <w:r>
        <w:rPr>
          <w:rFonts w:hint="eastAsia" w:ascii="宋体" w:hAnsi="宋体"/>
          <w:color w:val="auto"/>
          <w:sz w:val="24"/>
          <w:highlight w:val="none"/>
          <w:lang w:val="zh-CN"/>
        </w:rPr>
        <w:t>“苏采云”</w:t>
      </w:r>
      <w:r>
        <w:rPr>
          <w:rFonts w:hint="eastAsia" w:ascii="宋体" w:hAnsi="宋体"/>
          <w:color w:val="auto"/>
          <w:sz w:val="24"/>
          <w:highlight w:val="none"/>
        </w:rPr>
        <w:t>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“苏采云”</w:t>
      </w:r>
      <w:r>
        <w:rPr>
          <w:rFonts w:hint="eastAsia" w:ascii="宋体" w:hAnsi="宋体"/>
          <w:color w:val="auto"/>
          <w:sz w:val="24"/>
          <w:highlight w:val="none"/>
        </w:rPr>
        <w:t>系统中提交加盖电子公章的《退出磋商函》。</w:t>
      </w:r>
    </w:p>
    <w:p w14:paraId="2F76E15F">
      <w:pPr>
        <w:pStyle w:val="190"/>
        <w:keepNext w:val="0"/>
        <w:keepLines w:val="0"/>
        <w:tabs>
          <w:tab w:val="left" w:pos="5191"/>
        </w:tabs>
        <w:spacing w:before="200" w:after="200" w:line="360" w:lineRule="auto"/>
        <w:ind w:firstLine="446"/>
        <w:rPr>
          <w:rFonts w:ascii="宋体" w:hAnsi="宋体"/>
          <w:color w:val="auto"/>
          <w:sz w:val="30"/>
          <w:highlight w:val="none"/>
        </w:rPr>
      </w:pPr>
      <w:bookmarkStart w:id="203" w:name="_Toc5435"/>
      <w:bookmarkStart w:id="204" w:name="_Toc73365495"/>
      <w:bookmarkStart w:id="205" w:name="_Toc12369"/>
      <w:bookmarkStart w:id="206" w:name="_Toc24898"/>
      <w:bookmarkStart w:id="207" w:name="_Toc73364882"/>
      <w:bookmarkStart w:id="208" w:name="_Toc4261"/>
      <w:r>
        <w:rPr>
          <w:rFonts w:hint="eastAsia" w:ascii="宋体" w:hAnsi="宋体"/>
          <w:color w:val="auto"/>
          <w:sz w:val="30"/>
          <w:highlight w:val="none"/>
        </w:rPr>
        <w:t>2</w:t>
      </w:r>
      <w:r>
        <w:rPr>
          <w:rFonts w:hint="eastAsia" w:ascii="宋体" w:hAnsi="宋体"/>
          <w:color w:val="auto"/>
          <w:sz w:val="30"/>
          <w:highlight w:val="none"/>
          <w:lang w:val="en-US" w:eastAsia="zh-CN"/>
        </w:rPr>
        <w:t>4</w:t>
      </w:r>
      <w:r>
        <w:rPr>
          <w:rFonts w:hint="eastAsia" w:ascii="宋体" w:hAnsi="宋体"/>
          <w:color w:val="auto"/>
          <w:sz w:val="30"/>
          <w:highlight w:val="none"/>
        </w:rPr>
        <w:t>．</w:t>
      </w:r>
      <w:r>
        <w:rPr>
          <w:rFonts w:ascii="宋体" w:hAnsi="宋体"/>
          <w:color w:val="auto"/>
          <w:sz w:val="30"/>
          <w:highlight w:val="none"/>
        </w:rPr>
        <w:t>竞争性磋商</w:t>
      </w:r>
      <w:r>
        <w:rPr>
          <w:rFonts w:hint="eastAsia" w:ascii="宋体" w:hAnsi="宋体"/>
          <w:color w:val="auto"/>
          <w:sz w:val="30"/>
          <w:highlight w:val="none"/>
        </w:rPr>
        <w:t>特殊情况处理</w:t>
      </w:r>
      <w:bookmarkEnd w:id="203"/>
      <w:bookmarkEnd w:id="204"/>
      <w:bookmarkEnd w:id="205"/>
      <w:bookmarkEnd w:id="206"/>
      <w:bookmarkEnd w:id="207"/>
      <w:bookmarkEnd w:id="208"/>
    </w:p>
    <w:p w14:paraId="448A78D4">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.1</w:t>
      </w:r>
      <w:r>
        <w:rPr>
          <w:rFonts w:ascii="宋体" w:hAnsi="宋体"/>
          <w:color w:val="auto"/>
          <w:sz w:val="24"/>
          <w:highlight w:val="none"/>
        </w:rPr>
        <w:t>出现下列情形之一的，应当终止竞争性磋商采购活动，发布项目终止公告并说明原因，重新开展采购活动：</w:t>
      </w:r>
    </w:p>
    <w:p w14:paraId="11CE2DDF">
      <w:pPr>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因情况变化，不再符合规定的竞争性磋商采购方式适用情形的；</w:t>
      </w:r>
    </w:p>
    <w:p w14:paraId="43FF0852">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出现影响采购公正的违法、违规行为的</w:t>
      </w:r>
      <w:r>
        <w:rPr>
          <w:rFonts w:hint="eastAsia" w:ascii="宋体" w:hAnsi="宋体"/>
          <w:color w:val="auto"/>
          <w:sz w:val="24"/>
          <w:highlight w:val="none"/>
        </w:rPr>
        <w:t>；</w:t>
      </w:r>
    </w:p>
    <w:p w14:paraId="6E5E853C">
      <w:pPr>
        <w:spacing w:line="360" w:lineRule="auto"/>
        <w:ind w:firstLine="480"/>
        <w:rPr>
          <w:rFonts w:ascii="宋体" w:hAnsi="宋体"/>
          <w:color w:val="auto"/>
          <w:sz w:val="24"/>
          <w:highlight w:val="none"/>
        </w:rPr>
      </w:pPr>
      <w:r>
        <w:rPr>
          <w:rFonts w:hint="eastAsia" w:ascii="宋体" w:hAnsi="宋体"/>
          <w:color w:val="auto"/>
          <w:sz w:val="24"/>
          <w:highlight w:val="none"/>
        </w:rPr>
        <w:t>（3）除《政府采购竞争性磋商采购方式管理暂行办法》第三条第四项规定的情形外，在采购过程中符合要求的供应商或者报价未超过采购预算的供应商不足3家的。</w:t>
      </w:r>
    </w:p>
    <w:p w14:paraId="062FC931">
      <w:pPr>
        <w:spacing w:line="360" w:lineRule="auto"/>
        <w:ind w:firstLine="480"/>
        <w:rPr>
          <w:color w:val="auto"/>
          <w:highlight w:val="none"/>
        </w:rPr>
      </w:pPr>
      <w:r>
        <w:rPr>
          <w:rFonts w:hint="eastAsia" w:ascii="宋体" w:hAnsi="宋体" w:cs="Times New Roman"/>
          <w:color w:val="auto"/>
          <w:sz w:val="24"/>
          <w:highlight w:val="none"/>
        </w:rPr>
        <w:t>2</w:t>
      </w:r>
      <w:r>
        <w:rPr>
          <w:rFonts w:hint="eastAsia" w:ascii="宋体" w:hAnsi="宋体" w:cs="Times New Roman"/>
          <w:color w:val="auto"/>
          <w:sz w:val="24"/>
          <w:highlight w:val="none"/>
          <w:lang w:val="en-US" w:eastAsia="zh-CN"/>
        </w:rPr>
        <w:t>4</w:t>
      </w:r>
      <w:r>
        <w:rPr>
          <w:rFonts w:hint="eastAsia" w:ascii="宋体" w:hAnsi="宋体" w:cs="Times New Roman"/>
          <w:color w:val="auto"/>
          <w:sz w:val="24"/>
          <w:highlight w:val="none"/>
        </w:rPr>
        <w:t>.2</w:t>
      </w:r>
      <w:r>
        <w:rPr>
          <w:rFonts w:hint="eastAsia" w:ascii="宋体" w:hAnsi="宋体"/>
          <w:color w:val="auto"/>
          <w:sz w:val="24"/>
          <w:highlight w:val="none"/>
        </w:rPr>
        <w:t>因重大变故，采购任务取消的则该磋商活动取消，采购人应当将取消理由通知所有供应商。</w:t>
      </w:r>
    </w:p>
    <w:p w14:paraId="21A1DD00">
      <w:pPr>
        <w:pStyle w:val="189"/>
        <w:rPr>
          <w:rFonts w:ascii="宋体" w:hAnsi="宋体" w:eastAsia="宋体"/>
          <w:color w:val="auto"/>
          <w:sz w:val="32"/>
          <w:highlight w:val="none"/>
        </w:rPr>
      </w:pPr>
      <w:bookmarkStart w:id="209" w:name="_Toc26495"/>
      <w:bookmarkStart w:id="210" w:name="_Toc73365496"/>
      <w:bookmarkStart w:id="211" w:name="_Toc73364883"/>
      <w:r>
        <w:rPr>
          <w:rFonts w:hint="eastAsia" w:ascii="宋体" w:hAnsi="宋体" w:eastAsia="宋体"/>
          <w:color w:val="auto"/>
          <w:sz w:val="32"/>
          <w:highlight w:val="none"/>
        </w:rPr>
        <w:t>五、确定成交结果</w:t>
      </w:r>
      <w:bookmarkEnd w:id="209"/>
      <w:bookmarkEnd w:id="210"/>
      <w:bookmarkEnd w:id="211"/>
    </w:p>
    <w:p w14:paraId="03C4044A">
      <w:pPr>
        <w:pStyle w:val="190"/>
        <w:keepNext w:val="0"/>
        <w:keepLines w:val="0"/>
        <w:tabs>
          <w:tab w:val="left" w:pos="5191"/>
        </w:tabs>
        <w:spacing w:before="200" w:after="200" w:line="360" w:lineRule="auto"/>
        <w:ind w:firstLine="446"/>
        <w:rPr>
          <w:rFonts w:hint="eastAsia" w:ascii="宋体" w:hAnsi="宋体"/>
          <w:color w:val="auto"/>
          <w:sz w:val="30"/>
          <w:highlight w:val="none"/>
        </w:rPr>
      </w:pPr>
      <w:bookmarkStart w:id="212" w:name="_Toc4568"/>
      <w:bookmarkStart w:id="213" w:name="_Toc26551"/>
      <w:bookmarkStart w:id="214" w:name="_Toc73364884"/>
      <w:bookmarkStart w:id="215" w:name="_Toc10"/>
      <w:bookmarkStart w:id="216" w:name="_Toc73365497"/>
      <w:bookmarkStart w:id="217" w:name="_Toc31493"/>
      <w:r>
        <w:rPr>
          <w:rFonts w:hint="eastAsia" w:ascii="宋体" w:hAnsi="宋体"/>
          <w:color w:val="auto"/>
          <w:sz w:val="30"/>
          <w:highlight w:val="none"/>
        </w:rPr>
        <w:t>2</w:t>
      </w:r>
      <w:r>
        <w:rPr>
          <w:rFonts w:hint="eastAsia" w:ascii="宋体" w:hAnsi="宋体"/>
          <w:color w:val="auto"/>
          <w:sz w:val="30"/>
          <w:highlight w:val="none"/>
          <w:lang w:val="en-US" w:eastAsia="zh-CN"/>
        </w:rPr>
        <w:t>5</w:t>
      </w:r>
      <w:r>
        <w:rPr>
          <w:rFonts w:hint="eastAsia" w:ascii="宋体" w:hAnsi="宋体"/>
          <w:color w:val="auto"/>
          <w:sz w:val="30"/>
          <w:highlight w:val="none"/>
        </w:rPr>
        <w:t>．确定成交供应商</w:t>
      </w:r>
      <w:bookmarkEnd w:id="212"/>
      <w:bookmarkEnd w:id="213"/>
      <w:bookmarkEnd w:id="214"/>
      <w:bookmarkEnd w:id="215"/>
      <w:bookmarkEnd w:id="216"/>
      <w:bookmarkEnd w:id="217"/>
    </w:p>
    <w:p w14:paraId="393F86E0">
      <w:pPr>
        <w:spacing w:line="360" w:lineRule="auto"/>
        <w:ind w:firstLine="480"/>
        <w:rPr>
          <w:rFonts w:hint="eastAsia" w:ascii="宋体" w:hAnsi="宋体" w:eastAsia="宋体" w:cs="Times New Roman"/>
          <w:color w:val="auto"/>
          <w:sz w:val="24"/>
          <w:highlight w:val="none"/>
        </w:rPr>
      </w:pPr>
      <w:bookmarkStart w:id="218" w:name="EB3fe0db93f0354614add263878fac6db4"/>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rPr>
        <w:t>.1采购人从评审报告提出的成交候选供应商中，按照排序由高到低的原则确定成交供应商。采购人授权评标委员会直接确定中标候选人排序第一的为中标人。</w:t>
      </w:r>
      <w:bookmarkEnd w:id="218"/>
    </w:p>
    <w:p w14:paraId="4B53AAD6">
      <w:pPr>
        <w:pStyle w:val="189"/>
        <w:rPr>
          <w:rFonts w:hint="eastAsia" w:ascii="宋体" w:hAnsi="宋体" w:eastAsia="宋体"/>
          <w:color w:val="auto"/>
          <w:sz w:val="32"/>
          <w:highlight w:val="none"/>
        </w:rPr>
      </w:pPr>
      <w:bookmarkStart w:id="219" w:name="_Toc20526"/>
      <w:bookmarkStart w:id="220" w:name="_Toc73365498"/>
      <w:bookmarkStart w:id="221" w:name="_Toc73364885"/>
      <w:r>
        <w:rPr>
          <w:rFonts w:hint="eastAsia" w:ascii="宋体" w:hAnsi="宋体" w:eastAsia="宋体"/>
          <w:color w:val="auto"/>
          <w:sz w:val="32"/>
          <w:highlight w:val="none"/>
        </w:rPr>
        <w:t>六、授予合同</w:t>
      </w:r>
      <w:bookmarkEnd w:id="219"/>
      <w:bookmarkEnd w:id="220"/>
      <w:bookmarkEnd w:id="221"/>
    </w:p>
    <w:p w14:paraId="211F1197">
      <w:pPr>
        <w:pStyle w:val="190"/>
        <w:keepNext w:val="0"/>
        <w:keepLines w:val="0"/>
        <w:tabs>
          <w:tab w:val="left" w:pos="5191"/>
        </w:tabs>
        <w:spacing w:before="200" w:after="200" w:line="360" w:lineRule="auto"/>
        <w:ind w:firstLine="446"/>
        <w:rPr>
          <w:rFonts w:hint="eastAsia" w:ascii="宋体" w:hAnsi="宋体"/>
          <w:color w:val="auto"/>
          <w:sz w:val="30"/>
          <w:highlight w:val="none"/>
        </w:rPr>
      </w:pPr>
      <w:bookmarkStart w:id="222" w:name="_Toc73364886"/>
      <w:bookmarkStart w:id="223" w:name="_Toc12469"/>
      <w:bookmarkStart w:id="224" w:name="_Toc73365499"/>
      <w:bookmarkStart w:id="225" w:name="_Toc6716"/>
      <w:bookmarkStart w:id="226" w:name="_Toc5669"/>
      <w:bookmarkStart w:id="227" w:name="_Toc4886"/>
      <w:r>
        <w:rPr>
          <w:rFonts w:hint="eastAsia" w:ascii="宋体" w:hAnsi="宋体"/>
          <w:color w:val="auto"/>
          <w:sz w:val="30"/>
          <w:highlight w:val="none"/>
        </w:rPr>
        <w:t>2</w:t>
      </w:r>
      <w:r>
        <w:rPr>
          <w:rFonts w:hint="eastAsia" w:ascii="宋体" w:hAnsi="宋体"/>
          <w:color w:val="auto"/>
          <w:sz w:val="30"/>
          <w:highlight w:val="none"/>
          <w:lang w:val="en-US" w:eastAsia="zh-CN"/>
        </w:rPr>
        <w:t>6</w:t>
      </w:r>
      <w:r>
        <w:rPr>
          <w:rFonts w:hint="eastAsia" w:ascii="宋体" w:hAnsi="宋体"/>
          <w:color w:val="auto"/>
          <w:sz w:val="30"/>
          <w:highlight w:val="none"/>
        </w:rPr>
        <w:t>．磋商组织方接受和拒绝任何或所有响应的权利</w:t>
      </w:r>
      <w:bookmarkEnd w:id="222"/>
      <w:bookmarkEnd w:id="223"/>
      <w:bookmarkEnd w:id="224"/>
      <w:bookmarkEnd w:id="225"/>
      <w:bookmarkEnd w:id="226"/>
      <w:bookmarkEnd w:id="227"/>
    </w:p>
    <w:p w14:paraId="74863B1C">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rPr>
        <w:t>.1为维护国家和社会公共利益，磋商组织方保留在授标之前任何时候接受或拒绝任何供应商成交的权利，且对受影响的供应商不承担任何责任。</w:t>
      </w:r>
    </w:p>
    <w:p w14:paraId="65C77F2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rPr>
        <w:t>.2因不可抗力或成交供应商不能履约等情形，磋商组织方保留与其他候选供应商签订合同的权利。</w:t>
      </w:r>
    </w:p>
    <w:p w14:paraId="5E719C3F">
      <w:pPr>
        <w:pStyle w:val="190"/>
        <w:keepNext w:val="0"/>
        <w:keepLines w:val="0"/>
        <w:tabs>
          <w:tab w:val="left" w:pos="5191"/>
        </w:tabs>
        <w:spacing w:before="200" w:after="200" w:line="360" w:lineRule="auto"/>
        <w:ind w:firstLine="446"/>
        <w:rPr>
          <w:rFonts w:hint="eastAsia" w:ascii="宋体" w:hAnsi="宋体"/>
          <w:color w:val="auto"/>
          <w:sz w:val="30"/>
          <w:highlight w:val="none"/>
        </w:rPr>
      </w:pPr>
      <w:bookmarkStart w:id="228" w:name="_Toc12105"/>
      <w:bookmarkStart w:id="229" w:name="_Toc21973"/>
      <w:bookmarkStart w:id="230" w:name="_Toc395"/>
      <w:bookmarkStart w:id="231" w:name="_Toc18538"/>
      <w:bookmarkStart w:id="232" w:name="_Toc73364887"/>
      <w:bookmarkStart w:id="233" w:name="_Toc73365500"/>
      <w:r>
        <w:rPr>
          <w:rFonts w:hint="eastAsia" w:ascii="宋体" w:hAnsi="宋体"/>
          <w:color w:val="auto"/>
          <w:sz w:val="30"/>
          <w:highlight w:val="none"/>
        </w:rPr>
        <w:t>2</w:t>
      </w:r>
      <w:r>
        <w:rPr>
          <w:rFonts w:hint="eastAsia" w:ascii="宋体" w:hAnsi="宋体"/>
          <w:color w:val="auto"/>
          <w:sz w:val="30"/>
          <w:highlight w:val="none"/>
          <w:lang w:val="en-US" w:eastAsia="zh-CN"/>
        </w:rPr>
        <w:t>7</w:t>
      </w:r>
      <w:r>
        <w:rPr>
          <w:rFonts w:hint="eastAsia" w:ascii="宋体" w:hAnsi="宋体"/>
          <w:color w:val="auto"/>
          <w:sz w:val="30"/>
          <w:highlight w:val="none"/>
        </w:rPr>
        <w:t>．成交通知书</w:t>
      </w:r>
      <w:bookmarkEnd w:id="228"/>
      <w:bookmarkEnd w:id="229"/>
      <w:bookmarkEnd w:id="230"/>
      <w:bookmarkEnd w:id="231"/>
      <w:bookmarkEnd w:id="232"/>
      <w:bookmarkEnd w:id="233"/>
    </w:p>
    <w:p w14:paraId="6C073ED5">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.1在磋商响应有效期期满之前,磋商组织方将以书面形式通知成交供应商，成交供应商在收到成交通知书后，须立即以书面形式回复磋商组织方，确认成交通知书已收，并同意接受。</w:t>
      </w:r>
    </w:p>
    <w:p w14:paraId="71F1968C">
      <w:pPr>
        <w:spacing w:line="360" w:lineRule="auto"/>
        <w:ind w:firstLine="480"/>
        <w:rPr>
          <w:rFonts w:hint="eastAsia" w:ascii="宋体" w:hAnsi="宋体"/>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.2成交通知书发出后，采购人不得违法改变成交结果，成交供应商无正当理由不得放弃成交。</w:t>
      </w:r>
    </w:p>
    <w:p w14:paraId="71F442DF">
      <w:pPr>
        <w:pStyle w:val="190"/>
        <w:keepNext w:val="0"/>
        <w:keepLines w:val="0"/>
        <w:tabs>
          <w:tab w:val="left" w:pos="5191"/>
        </w:tabs>
        <w:spacing w:before="200" w:after="200" w:line="360" w:lineRule="auto"/>
        <w:ind w:firstLine="446"/>
        <w:rPr>
          <w:rFonts w:hint="eastAsia" w:ascii="宋体" w:hAnsi="宋体"/>
          <w:color w:val="auto"/>
          <w:sz w:val="30"/>
          <w:highlight w:val="none"/>
        </w:rPr>
      </w:pPr>
      <w:bookmarkStart w:id="234" w:name="_Toc5326"/>
      <w:bookmarkStart w:id="235" w:name="_Toc6378"/>
      <w:bookmarkStart w:id="236" w:name="_Toc16506"/>
      <w:bookmarkStart w:id="237" w:name="_Toc73364888"/>
      <w:bookmarkStart w:id="238" w:name="_Toc73365501"/>
      <w:bookmarkStart w:id="239" w:name="_Toc15077"/>
      <w:r>
        <w:rPr>
          <w:rFonts w:hint="eastAsia" w:ascii="宋体" w:hAnsi="宋体"/>
          <w:color w:val="auto"/>
          <w:sz w:val="30"/>
          <w:highlight w:val="none"/>
        </w:rPr>
        <w:t>2</w:t>
      </w:r>
      <w:r>
        <w:rPr>
          <w:rFonts w:hint="eastAsia" w:ascii="宋体" w:hAnsi="宋体"/>
          <w:color w:val="auto"/>
          <w:sz w:val="30"/>
          <w:highlight w:val="none"/>
          <w:lang w:val="en-US" w:eastAsia="zh-CN"/>
        </w:rPr>
        <w:t>8</w:t>
      </w:r>
      <w:r>
        <w:rPr>
          <w:rFonts w:hint="eastAsia" w:ascii="宋体" w:hAnsi="宋体"/>
          <w:color w:val="auto"/>
          <w:sz w:val="30"/>
          <w:highlight w:val="none"/>
        </w:rPr>
        <w:t>．签订合同</w:t>
      </w:r>
      <w:bookmarkEnd w:id="234"/>
      <w:bookmarkEnd w:id="235"/>
      <w:bookmarkEnd w:id="236"/>
      <w:bookmarkEnd w:id="237"/>
      <w:bookmarkEnd w:id="238"/>
      <w:bookmarkEnd w:id="239"/>
    </w:p>
    <w:p w14:paraId="2D4F136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.1采购人应当自成交通知书发出之日起</w:t>
      </w:r>
      <w:bookmarkStart w:id="240" w:name="EB51d9b032aa7249af80d45424dadc155d"/>
      <w:r>
        <w:rPr>
          <w:rFonts w:hint="eastAsia" w:ascii="宋体" w:hAnsi="宋体" w:eastAsia="宋体" w:cs="Times New Roman"/>
          <w:color w:val="auto"/>
          <w:sz w:val="24"/>
          <w:highlight w:val="none"/>
        </w:rPr>
        <w:t>15日</w:t>
      </w:r>
      <w:bookmarkEnd w:id="240"/>
      <w:r>
        <w:rPr>
          <w:rFonts w:hint="eastAsia" w:ascii="宋体" w:hAnsi="宋体" w:eastAsia="宋体" w:cs="Times New Roman"/>
          <w:color w:val="auto"/>
          <w:sz w:val="24"/>
          <w:highlight w:val="none"/>
        </w:rPr>
        <w:t>内，按照磋商文件、成交供应商磋商响应文件以及磋商过程中确定的事项，与成交供应商签订政府采购合同。采购人不得向成交人提出任何不合理的要求作为签订合同的条件。</w:t>
      </w:r>
    </w:p>
    <w:p w14:paraId="1A3BD5C4">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.2政府采购合同应当包括采购人与成交人的名称和住所、标的、数量、质量、价款或者报酬、履行期限及地点和方式、验收要求、违约责任、解决争议的方法等内容。</w:t>
      </w:r>
    </w:p>
    <w:p w14:paraId="5D4B16B7">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.3合同履行中，采购人需追加与合同标的相同的服务时，在不改变合同其他条款的前提下，可以与成交人协商签订补充合同，但所有补充合同的采购金额不得超过原合同采购金额的百分之十。</w:t>
      </w:r>
    </w:p>
    <w:p w14:paraId="70D97A7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.4采购结束后，采购人若由于各种客观原因，必须对采购项目所牵涉的货物和服务进行适当的减少时，在双方协商一致的前提下，可以按照磋商采购时的价格水平做相应的调减，并据此签订补充合同。</w:t>
      </w:r>
    </w:p>
    <w:p w14:paraId="6CD55CC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.5采购人与成交人应当根据合同的约定依法履行合同义务。政府采购合同的履行、违约责任和解决争议的方法等适用</w:t>
      </w:r>
      <w:bookmarkStart w:id="241" w:name="EB756a2e5eaf4942b0afe0c5074e4df86a"/>
      <w:r>
        <w:rPr>
          <w:rFonts w:hint="eastAsia" w:ascii="宋体" w:hAnsi="宋体" w:eastAsia="宋体" w:cs="Times New Roman"/>
          <w:color w:val="auto"/>
          <w:sz w:val="24"/>
          <w:highlight w:val="none"/>
        </w:rPr>
        <w:t>《中华人民共和国民法典》</w:t>
      </w:r>
      <w:bookmarkEnd w:id="241"/>
      <w:r>
        <w:rPr>
          <w:rFonts w:hint="eastAsia" w:ascii="宋体" w:hAnsi="宋体" w:eastAsia="宋体" w:cs="Times New Roman"/>
          <w:color w:val="auto"/>
          <w:sz w:val="24"/>
          <w:highlight w:val="none"/>
        </w:rPr>
        <w:t>。</w:t>
      </w:r>
    </w:p>
    <w:p w14:paraId="18A0B3BC">
      <w:pPr>
        <w:pStyle w:val="190"/>
        <w:keepNext w:val="0"/>
        <w:keepLines w:val="0"/>
        <w:tabs>
          <w:tab w:val="left" w:pos="5191"/>
        </w:tabs>
        <w:spacing w:before="200" w:after="200" w:line="360" w:lineRule="auto"/>
        <w:ind w:firstLine="446"/>
        <w:rPr>
          <w:rFonts w:hint="eastAsia"/>
          <w:color w:val="auto"/>
          <w:highlight w:val="none"/>
        </w:rPr>
      </w:pPr>
      <w:bookmarkStart w:id="242" w:name="_Toc13196"/>
      <w:bookmarkStart w:id="243" w:name="_Toc73365502"/>
      <w:bookmarkStart w:id="244" w:name="_Toc73364889"/>
      <w:bookmarkStart w:id="245" w:name="_Toc5450"/>
      <w:bookmarkStart w:id="246" w:name="_Toc17280"/>
      <w:bookmarkStart w:id="247" w:name="_Toc17287"/>
      <w:r>
        <w:rPr>
          <w:rFonts w:hint="eastAsia" w:ascii="宋体" w:hAnsi="宋体"/>
          <w:color w:val="auto"/>
          <w:sz w:val="30"/>
          <w:highlight w:val="none"/>
          <w:lang w:val="en-US" w:eastAsia="zh-CN"/>
        </w:rPr>
        <w:t>29</w:t>
      </w:r>
      <w:r>
        <w:rPr>
          <w:rFonts w:hint="eastAsia" w:ascii="宋体" w:hAnsi="宋体"/>
          <w:color w:val="auto"/>
          <w:sz w:val="30"/>
          <w:highlight w:val="none"/>
        </w:rPr>
        <w:t>．履约保证金</w:t>
      </w:r>
      <w:bookmarkEnd w:id="242"/>
      <w:bookmarkEnd w:id="243"/>
      <w:bookmarkEnd w:id="244"/>
      <w:bookmarkEnd w:id="245"/>
      <w:bookmarkEnd w:id="246"/>
      <w:bookmarkEnd w:id="247"/>
    </w:p>
    <w:p w14:paraId="5205EAFA">
      <w:pPr>
        <w:pStyle w:val="12"/>
        <w:numPr>
          <w:ilvl w:val="1"/>
          <w:numId w:val="0"/>
        </w:numPr>
        <w:spacing w:line="360" w:lineRule="auto"/>
        <w:ind w:firstLine="480"/>
        <w:jc w:val="left"/>
        <w:rPr>
          <w:rFonts w:hint="eastAsia" w:ascii="宋体" w:hAnsi="宋体" w:eastAsia="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rPr>
        <w:t>本项目不收取履约保证金</w:t>
      </w:r>
      <w:r>
        <w:rPr>
          <w:rFonts w:hint="eastAsia" w:ascii="宋体" w:hAnsi="宋体"/>
          <w:color w:val="auto"/>
          <w:sz w:val="24"/>
          <w:highlight w:val="none"/>
          <w:lang w:eastAsia="zh-CN"/>
        </w:rPr>
        <w:t>。</w:t>
      </w:r>
    </w:p>
    <w:p w14:paraId="4A7A512A">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rPr>
        <w:t>本项目中标供应商应提交合同金额</w:t>
      </w:r>
      <w:r>
        <w:rPr>
          <w:rFonts w:hint="eastAsia" w:ascii="宋体" w:hAnsi="宋体"/>
          <w:color w:val="auto"/>
          <w:sz w:val="24"/>
          <w:highlight w:val="none"/>
          <w:lang w:val="en-US" w:eastAsia="zh-CN"/>
        </w:rPr>
        <w:t>10</w:t>
      </w:r>
      <w:r>
        <w:rPr>
          <w:rFonts w:hint="eastAsia" w:ascii="宋体" w:hAnsi="宋体"/>
          <w:color w:val="auto"/>
          <w:sz w:val="24"/>
          <w:highlight w:val="none"/>
        </w:rPr>
        <w:t>%的履约保证金（不得超过政府采购合同金额的10%），履约保证金应以支票、汇票、本票、保函、保险保单等非现金形式缴纳或提交。</w:t>
      </w:r>
    </w:p>
    <w:p w14:paraId="4244D07C">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43D86FE5">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履约保证金退还的条件： </w:t>
      </w:r>
    </w:p>
    <w:p w14:paraId="652A053B">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货物类项目，项目验收合格，出具验收报告及履约保证金收据申请退付；</w:t>
      </w:r>
    </w:p>
    <w:p w14:paraId="378DD130">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履约保证金退还时间：采购单位收到投标人退付申请后5个工作日内退还；</w:t>
      </w:r>
    </w:p>
    <w:p w14:paraId="14DE84F8">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履约保证金不予退还情形：除不可抗力外，投标人不履行与采购人订立的采购合同的，履约保证金不予退还，给采购人造成的损失超过履约保证金数额的，还应当对超过部分予以赔偿；</w:t>
      </w:r>
    </w:p>
    <w:p w14:paraId="3A54D870">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逾期退还履约保证金的违约责任：除应当退还履约保证金外，还应当按中国人民银行同期贷款基准利率上浮20％后的利率支付超期资金占用费，但因投标人自身原因导致无法及时退还的除外。</w:t>
      </w:r>
    </w:p>
    <w:p w14:paraId="0C162E25">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4996E949">
      <w:pPr>
        <w:pStyle w:val="189"/>
        <w:rPr>
          <w:rFonts w:ascii="宋体" w:hAnsi="宋体" w:eastAsia="宋体"/>
          <w:color w:val="auto"/>
          <w:sz w:val="32"/>
          <w:highlight w:val="none"/>
        </w:rPr>
      </w:pPr>
      <w:bookmarkStart w:id="248" w:name="_Toc73365503"/>
      <w:bookmarkStart w:id="249" w:name="_Toc73364890"/>
      <w:bookmarkStart w:id="250" w:name="_Toc12337"/>
      <w:r>
        <w:rPr>
          <w:rFonts w:hint="eastAsia" w:ascii="宋体" w:hAnsi="宋体" w:eastAsia="宋体"/>
          <w:color w:val="auto"/>
          <w:sz w:val="32"/>
          <w:highlight w:val="none"/>
        </w:rPr>
        <w:t>七、询问、质疑、投诉</w:t>
      </w:r>
      <w:bookmarkEnd w:id="248"/>
      <w:bookmarkEnd w:id="249"/>
      <w:bookmarkEnd w:id="250"/>
    </w:p>
    <w:p w14:paraId="700C83C2">
      <w:pPr>
        <w:pStyle w:val="190"/>
        <w:keepNext w:val="0"/>
        <w:keepLines w:val="0"/>
        <w:tabs>
          <w:tab w:val="left" w:pos="5191"/>
        </w:tabs>
        <w:spacing w:before="200" w:after="200" w:line="360" w:lineRule="auto"/>
        <w:ind w:firstLine="446"/>
        <w:rPr>
          <w:rFonts w:ascii="宋体" w:hAnsi="宋体"/>
          <w:color w:val="auto"/>
          <w:sz w:val="30"/>
          <w:highlight w:val="none"/>
        </w:rPr>
      </w:pPr>
      <w:bookmarkStart w:id="251" w:name="_Toc73365504"/>
      <w:bookmarkStart w:id="252" w:name="_Toc29838"/>
      <w:bookmarkStart w:id="253" w:name="_Toc5829"/>
      <w:bookmarkStart w:id="254" w:name="_Toc21687"/>
      <w:bookmarkStart w:id="255" w:name="_Toc26856"/>
      <w:bookmarkStart w:id="256" w:name="_Toc73364891"/>
      <w:r>
        <w:rPr>
          <w:rFonts w:hint="eastAsia" w:ascii="宋体" w:hAnsi="宋体"/>
          <w:color w:val="auto"/>
          <w:sz w:val="30"/>
          <w:highlight w:val="none"/>
        </w:rPr>
        <w:t>3</w:t>
      </w:r>
      <w:r>
        <w:rPr>
          <w:rFonts w:hint="eastAsia" w:ascii="宋体" w:hAnsi="宋体"/>
          <w:color w:val="auto"/>
          <w:sz w:val="30"/>
          <w:highlight w:val="none"/>
          <w:lang w:val="en-US" w:eastAsia="zh-CN"/>
        </w:rPr>
        <w:t>0</w:t>
      </w:r>
      <w:r>
        <w:rPr>
          <w:rFonts w:hint="eastAsia" w:ascii="宋体" w:hAnsi="宋体"/>
          <w:color w:val="auto"/>
          <w:sz w:val="30"/>
          <w:highlight w:val="none"/>
        </w:rPr>
        <w:t>．询问</w:t>
      </w:r>
      <w:bookmarkEnd w:id="251"/>
      <w:bookmarkEnd w:id="252"/>
      <w:bookmarkEnd w:id="253"/>
      <w:bookmarkEnd w:id="254"/>
      <w:bookmarkEnd w:id="255"/>
      <w:bookmarkEnd w:id="256"/>
    </w:p>
    <w:p w14:paraId="40C3AD4D">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供应商对磋商活动事项有疑问的，可以向采购人或磋商组织方提出询问，采购人或磋商组织方将依法作出答复，但答复的内容不得涉及商业秘密。</w:t>
      </w:r>
    </w:p>
    <w:p w14:paraId="373C3B7D">
      <w:pPr>
        <w:pStyle w:val="190"/>
        <w:keepNext w:val="0"/>
        <w:keepLines w:val="0"/>
        <w:tabs>
          <w:tab w:val="left" w:pos="5191"/>
        </w:tabs>
        <w:spacing w:before="200" w:after="200" w:line="360" w:lineRule="auto"/>
        <w:ind w:firstLine="446"/>
        <w:rPr>
          <w:rFonts w:ascii="宋体" w:hAnsi="宋体"/>
          <w:color w:val="auto"/>
          <w:sz w:val="30"/>
          <w:highlight w:val="none"/>
        </w:rPr>
      </w:pPr>
      <w:bookmarkStart w:id="257" w:name="_Toc15998"/>
      <w:bookmarkStart w:id="258" w:name="_Toc6002"/>
      <w:bookmarkStart w:id="259" w:name="_Toc25135"/>
      <w:bookmarkStart w:id="260" w:name="_Toc14530"/>
      <w:bookmarkStart w:id="261" w:name="_Toc73364892"/>
      <w:bookmarkStart w:id="262" w:name="_Toc73365505"/>
      <w:r>
        <w:rPr>
          <w:rFonts w:hint="eastAsia" w:ascii="宋体" w:hAnsi="宋体"/>
          <w:color w:val="auto"/>
          <w:sz w:val="30"/>
          <w:highlight w:val="none"/>
        </w:rPr>
        <w:t>3</w:t>
      </w:r>
      <w:r>
        <w:rPr>
          <w:rFonts w:hint="eastAsia" w:ascii="宋体" w:hAnsi="宋体"/>
          <w:color w:val="auto"/>
          <w:sz w:val="30"/>
          <w:highlight w:val="none"/>
          <w:lang w:val="en-US" w:eastAsia="zh-CN"/>
        </w:rPr>
        <w:t>1</w:t>
      </w:r>
      <w:r>
        <w:rPr>
          <w:rFonts w:hint="eastAsia" w:ascii="宋体" w:hAnsi="宋体"/>
          <w:color w:val="auto"/>
          <w:sz w:val="30"/>
          <w:highlight w:val="none"/>
        </w:rPr>
        <w:t>．质疑</w:t>
      </w:r>
      <w:bookmarkEnd w:id="257"/>
      <w:bookmarkEnd w:id="258"/>
      <w:bookmarkEnd w:id="259"/>
      <w:bookmarkEnd w:id="260"/>
      <w:bookmarkEnd w:id="261"/>
      <w:bookmarkEnd w:id="262"/>
    </w:p>
    <w:p w14:paraId="2C5ECCD2">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263" w:name="EBe57b2086e1964f6c9a98adb43196769d"/>
      <w:r>
        <w:rPr>
          <w:rFonts w:hint="eastAsia" w:ascii="宋体" w:hAnsi="宋体" w:eastAsia="宋体" w:cs="Times New Roman"/>
          <w:color w:val="auto"/>
          <w:sz w:val="24"/>
          <w:highlight w:val="none"/>
        </w:rPr>
        <w:t xml:space="preserve"> </w:t>
      </w:r>
      <w:bookmarkEnd w:id="263"/>
      <w:bookmarkStart w:id="264" w:name="EB14c12432eda944b6b81906a07b050baa"/>
      <w:r>
        <w:rPr>
          <w:rFonts w:hint="eastAsia" w:ascii="宋体" w:hAnsi="宋体" w:eastAsia="宋体" w:cs="Times New Roman"/>
          <w:color w:val="auto"/>
          <w:sz w:val="24"/>
          <w:highlight w:val="none"/>
        </w:rPr>
        <w:t xml:space="preserve"> </w:t>
      </w:r>
      <w:bookmarkEnd w:id="264"/>
    </w:p>
    <w:p w14:paraId="1B42008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以上规定的供应商应知其权益受到损害之日，是指：</w:t>
      </w:r>
    </w:p>
    <w:p w14:paraId="2844ED4A">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（1）对可以质疑的磋商文件提出质疑的，为收到磋商文件之日或者磋商文件公告期限届满之日；</w:t>
      </w:r>
    </w:p>
    <w:p w14:paraId="66EFA85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（2）对采购过程提出质疑的，为各采购程序环节结束之日；</w:t>
      </w:r>
    </w:p>
    <w:p w14:paraId="161E172A">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（3）对成交结果提出质疑的，为结果公告期限届满之日。</w:t>
      </w:r>
    </w:p>
    <w:p w14:paraId="44F586AA">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p>
    <w:p w14:paraId="2E774E5A">
      <w:pPr>
        <w:spacing w:line="360" w:lineRule="auto"/>
        <w:ind w:firstLine="480"/>
        <w:rPr>
          <w:rFonts w:ascii="宋体" w:hAnsi="宋体"/>
          <w:b/>
          <w:color w:val="auto"/>
          <w:sz w:val="24"/>
          <w:highlight w:val="none"/>
        </w:rPr>
      </w:pPr>
      <w:r>
        <w:rPr>
          <w:rFonts w:hint="eastAsia" w:ascii="宋体" w:hAnsi="宋体" w:eastAsia="宋体" w:cs="Times New Roman"/>
          <w:color w:val="auto"/>
          <w:sz w:val="24"/>
          <w:highlight w:val="none"/>
        </w:rPr>
        <w:t>3</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供应商如对采购需求提出质疑，除向采购人递交质疑文件外，同时向磋商组织方递交质疑文件，采购人负责处理和答复涉及采购需求的质疑内容。</w:t>
      </w:r>
    </w:p>
    <w:p w14:paraId="30F43FB0">
      <w:pPr>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1</w:t>
      </w:r>
      <w:r>
        <w:rPr>
          <w:rFonts w:hint="eastAsia" w:ascii="宋体" w:hAnsi="宋体"/>
          <w:color w:val="auto"/>
          <w:sz w:val="24"/>
          <w:highlight w:val="none"/>
        </w:rPr>
        <w:t>.4采购人或磋商组织方在收到供应商的书面质疑后将及时组织调查核实，在七个工作日内作出答复，并以书面或在网站公告形式通知质疑供应商和其他有关供应商，答复的内容不涉及商业秘密。</w:t>
      </w:r>
    </w:p>
    <w:p w14:paraId="6CC2D143">
      <w:pPr>
        <w:pStyle w:val="190"/>
        <w:keepNext w:val="0"/>
        <w:keepLines w:val="0"/>
        <w:tabs>
          <w:tab w:val="left" w:pos="5191"/>
        </w:tabs>
        <w:spacing w:before="200" w:after="200" w:line="360" w:lineRule="auto"/>
        <w:ind w:firstLine="446"/>
        <w:rPr>
          <w:rFonts w:ascii="宋体" w:hAnsi="宋体"/>
          <w:color w:val="auto"/>
          <w:sz w:val="30"/>
          <w:highlight w:val="none"/>
        </w:rPr>
      </w:pPr>
      <w:bookmarkStart w:id="265" w:name="_Toc73365506"/>
      <w:bookmarkStart w:id="266" w:name="_Toc28906"/>
      <w:bookmarkStart w:id="267" w:name="_Toc29916"/>
      <w:bookmarkStart w:id="268" w:name="_Toc20851"/>
      <w:bookmarkStart w:id="269" w:name="_Toc3334"/>
      <w:bookmarkStart w:id="270" w:name="_Toc73364893"/>
      <w:r>
        <w:rPr>
          <w:rFonts w:hint="eastAsia" w:ascii="宋体" w:hAnsi="宋体"/>
          <w:color w:val="auto"/>
          <w:sz w:val="30"/>
          <w:highlight w:val="none"/>
        </w:rPr>
        <w:t>3</w:t>
      </w:r>
      <w:r>
        <w:rPr>
          <w:rFonts w:hint="eastAsia" w:ascii="宋体" w:hAnsi="宋体"/>
          <w:color w:val="auto"/>
          <w:sz w:val="30"/>
          <w:highlight w:val="none"/>
          <w:lang w:val="en-US" w:eastAsia="zh-CN"/>
        </w:rPr>
        <w:t>2</w:t>
      </w:r>
      <w:r>
        <w:rPr>
          <w:rFonts w:hint="eastAsia" w:ascii="宋体" w:hAnsi="宋体"/>
          <w:color w:val="auto"/>
          <w:sz w:val="30"/>
          <w:highlight w:val="none"/>
        </w:rPr>
        <w:t>．投诉</w:t>
      </w:r>
      <w:bookmarkEnd w:id="265"/>
      <w:bookmarkEnd w:id="266"/>
      <w:bookmarkEnd w:id="267"/>
      <w:bookmarkEnd w:id="268"/>
      <w:bookmarkEnd w:id="269"/>
      <w:bookmarkEnd w:id="270"/>
    </w:p>
    <w:p w14:paraId="56F9E7C5">
      <w:pPr>
        <w:spacing w:line="360" w:lineRule="auto"/>
        <w:ind w:firstLine="480"/>
        <w:rPr>
          <w:color w:val="auto"/>
          <w:highlight w:val="none"/>
        </w:rPr>
      </w:pPr>
      <w:r>
        <w:rPr>
          <w:rFonts w:hint="eastAsia" w:ascii="宋体" w:hAnsi="宋体"/>
          <w:color w:val="auto"/>
          <w:sz w:val="24"/>
          <w:highlight w:val="none"/>
        </w:rPr>
        <w:t>质疑供应商对采购人、磋商组织方的答复不满意，或者采购人、磋商组织方未在规定的时间内作出答复的，可以在答复期满后十五个工作日内向采购项目同级财政部门投诉。</w:t>
      </w:r>
    </w:p>
    <w:p w14:paraId="2F2E76B1">
      <w:pPr>
        <w:pStyle w:val="189"/>
        <w:rPr>
          <w:rFonts w:ascii="宋体" w:hAnsi="宋体" w:eastAsia="宋体"/>
          <w:color w:val="auto"/>
          <w:sz w:val="32"/>
          <w:highlight w:val="none"/>
        </w:rPr>
      </w:pPr>
      <w:bookmarkStart w:id="271" w:name="_Toc73365507"/>
      <w:bookmarkStart w:id="272" w:name="_Toc1451"/>
      <w:bookmarkStart w:id="273" w:name="_Toc73364894"/>
      <w:r>
        <w:rPr>
          <w:rFonts w:hint="eastAsia" w:ascii="宋体" w:hAnsi="宋体" w:eastAsia="宋体"/>
          <w:color w:val="auto"/>
          <w:sz w:val="32"/>
          <w:highlight w:val="none"/>
        </w:rPr>
        <w:t>八、诚实信用和解释权</w:t>
      </w:r>
      <w:bookmarkEnd w:id="271"/>
      <w:bookmarkEnd w:id="272"/>
      <w:bookmarkEnd w:id="273"/>
    </w:p>
    <w:p w14:paraId="7E7B68B8">
      <w:pPr>
        <w:pStyle w:val="190"/>
        <w:keepNext w:val="0"/>
        <w:keepLines w:val="0"/>
        <w:tabs>
          <w:tab w:val="left" w:pos="5191"/>
        </w:tabs>
        <w:spacing w:before="200" w:after="200" w:line="360" w:lineRule="auto"/>
        <w:ind w:firstLine="446"/>
        <w:rPr>
          <w:rFonts w:ascii="宋体" w:hAnsi="宋体"/>
          <w:color w:val="auto"/>
          <w:sz w:val="30"/>
          <w:highlight w:val="none"/>
        </w:rPr>
      </w:pPr>
      <w:bookmarkStart w:id="274" w:name="_Toc5005"/>
      <w:bookmarkStart w:id="275" w:name="_Toc19006"/>
      <w:bookmarkStart w:id="276" w:name="_Toc73365508"/>
      <w:bookmarkStart w:id="277" w:name="_Toc73364895"/>
      <w:bookmarkStart w:id="278" w:name="_Toc333"/>
      <w:bookmarkStart w:id="279" w:name="_Toc14517"/>
      <w:r>
        <w:rPr>
          <w:rFonts w:hint="eastAsia" w:ascii="宋体" w:hAnsi="宋体"/>
          <w:color w:val="auto"/>
          <w:sz w:val="30"/>
          <w:highlight w:val="none"/>
        </w:rPr>
        <w:t>3</w:t>
      </w:r>
      <w:r>
        <w:rPr>
          <w:rFonts w:hint="eastAsia" w:ascii="宋体" w:hAnsi="宋体"/>
          <w:color w:val="auto"/>
          <w:sz w:val="30"/>
          <w:highlight w:val="none"/>
          <w:lang w:val="en-US" w:eastAsia="zh-CN"/>
        </w:rPr>
        <w:t>3</w:t>
      </w:r>
      <w:r>
        <w:rPr>
          <w:rFonts w:hint="eastAsia" w:ascii="宋体" w:hAnsi="宋体"/>
          <w:color w:val="auto"/>
          <w:sz w:val="30"/>
          <w:highlight w:val="none"/>
        </w:rPr>
        <w:t>．诚实信用</w:t>
      </w:r>
      <w:bookmarkEnd w:id="274"/>
      <w:bookmarkEnd w:id="275"/>
      <w:bookmarkEnd w:id="276"/>
      <w:bookmarkEnd w:id="277"/>
      <w:bookmarkEnd w:id="278"/>
      <w:bookmarkEnd w:id="279"/>
    </w:p>
    <w:p w14:paraId="3D9457A2">
      <w:pPr>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3</w:t>
      </w:r>
      <w:r>
        <w:rPr>
          <w:rFonts w:hint="eastAsia" w:ascii="宋体" w:hAnsi="宋体"/>
          <w:color w:val="auto"/>
          <w:sz w:val="24"/>
          <w:highlight w:val="none"/>
        </w:rPr>
        <w:t>.1供应商之间不得相互串通磋商报价，不得妨碍其他供应商的公平竞争，不得损害采购人和其他供应商的合法权益。</w:t>
      </w:r>
    </w:p>
    <w:p w14:paraId="1CA61B5B">
      <w:pPr>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3</w:t>
      </w:r>
      <w:r>
        <w:rPr>
          <w:rFonts w:hint="eastAsia" w:ascii="宋体" w:hAnsi="宋体"/>
          <w:color w:val="auto"/>
          <w:sz w:val="24"/>
          <w:highlight w:val="none"/>
        </w:rPr>
        <w:t>.2供应商不得以向磋商组织方工作人员、磋商小组成员行贿或者采取其他不正当手段谋取成交。经查实供应商有此行为的，将在“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江苏省政府采购网</w:t>
      </w:r>
      <w:r>
        <w:rPr>
          <w:rFonts w:hint="eastAsia" w:ascii="宋体" w:hAnsi="宋体"/>
          <w:color w:val="auto"/>
          <w:sz w:val="24"/>
          <w:highlight w:val="none"/>
        </w:rPr>
        <w:t>”网站公告，政府采购管理部门将供应商列入不良行为记录名单，按照政府采购有关规定处理。</w:t>
      </w:r>
    </w:p>
    <w:p w14:paraId="6972EEBC">
      <w:pPr>
        <w:spacing w:line="360" w:lineRule="auto"/>
        <w:ind w:firstLine="480"/>
        <w:rPr>
          <w:rFonts w:ascii="宋体" w:hAnsi="宋体"/>
          <w:color w:val="auto"/>
          <w:sz w:val="24"/>
          <w:highlight w:val="none"/>
        </w:rPr>
      </w:pPr>
      <w:r>
        <w:rPr>
          <w:rFonts w:hint="eastAsia" w:ascii="宋体" w:hAnsi="宋体"/>
          <w:color w:val="auto"/>
          <w:sz w:val="24"/>
          <w:highlight w:val="none"/>
          <w:lang w:val="en-US" w:eastAsia="zh-CN"/>
        </w:rPr>
        <w:t>33</w:t>
      </w:r>
      <w:r>
        <w:rPr>
          <w:rFonts w:hint="eastAsia" w:ascii="宋体" w:hAnsi="宋体"/>
          <w:color w:val="auto"/>
          <w:sz w:val="24"/>
          <w:highlight w:val="none"/>
        </w:rPr>
        <w:t>.3供应商不得虚假承诺，否则，按照提供虚假材料谋取中标/成交处理。</w:t>
      </w:r>
    </w:p>
    <w:p w14:paraId="566B679F">
      <w:pPr>
        <w:spacing w:line="360" w:lineRule="auto"/>
        <w:ind w:left="2"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3</w:t>
      </w:r>
      <w:r>
        <w:rPr>
          <w:rFonts w:ascii="宋体" w:hAnsi="宋体"/>
          <w:color w:val="auto"/>
          <w:sz w:val="24"/>
          <w:highlight w:val="none"/>
        </w:rPr>
        <w:t>.4供应商应自觉遵守</w:t>
      </w:r>
      <w:r>
        <w:rPr>
          <w:rFonts w:hint="eastAsia" w:ascii="宋体" w:hAnsi="宋体"/>
          <w:color w:val="auto"/>
          <w:sz w:val="24"/>
          <w:highlight w:val="none"/>
        </w:rPr>
        <w:t>磋商</w:t>
      </w:r>
      <w:r>
        <w:rPr>
          <w:rFonts w:ascii="宋体" w:hAnsi="宋体"/>
          <w:color w:val="auto"/>
          <w:sz w:val="24"/>
          <w:highlight w:val="none"/>
        </w:rPr>
        <w:t>纪律，扰乱</w:t>
      </w:r>
      <w:r>
        <w:rPr>
          <w:rFonts w:hint="eastAsia" w:ascii="宋体" w:hAnsi="宋体"/>
          <w:color w:val="auto"/>
          <w:sz w:val="24"/>
          <w:highlight w:val="none"/>
        </w:rPr>
        <w:t>磋商</w:t>
      </w:r>
      <w:r>
        <w:rPr>
          <w:rFonts w:ascii="宋体" w:hAnsi="宋体"/>
          <w:color w:val="auto"/>
          <w:sz w:val="24"/>
          <w:highlight w:val="none"/>
        </w:rPr>
        <w:t>现场秩序的，属于失信行为，根据《江苏省政府采购供应商监督管理暂行办法》，失信行为将被记入供应商诚信档案。</w:t>
      </w:r>
    </w:p>
    <w:p w14:paraId="1FB6F2E4">
      <w:pPr>
        <w:spacing w:line="360" w:lineRule="auto"/>
        <w:ind w:left="2" w:firstLine="480"/>
        <w:jc w:val="left"/>
        <w:rPr>
          <w:rFonts w:ascii="宋体" w:hAnsi="宋体"/>
          <w:color w:val="auto"/>
          <w:sz w:val="24"/>
          <w:highlight w:val="none"/>
        </w:rPr>
      </w:pPr>
      <w:r>
        <w:rPr>
          <w:rFonts w:hint="eastAsia" w:ascii="宋体" w:hAnsi="宋体"/>
          <w:color w:val="auto"/>
          <w:sz w:val="24"/>
          <w:highlight w:val="none"/>
          <w:lang w:val="en-US" w:eastAsia="zh-CN"/>
        </w:rPr>
        <w:t>33</w:t>
      </w:r>
      <w:r>
        <w:rPr>
          <w:rFonts w:ascii="宋体" w:hAnsi="宋体"/>
          <w:color w:val="auto"/>
          <w:sz w:val="24"/>
          <w:highlight w:val="none"/>
        </w:rPr>
        <w:t>.5</w:t>
      </w:r>
      <w:r>
        <w:rPr>
          <w:rFonts w:hint="eastAsia" w:ascii="宋体" w:hAnsi="宋体"/>
          <w:color w:val="auto"/>
          <w:sz w:val="24"/>
          <w:highlight w:val="none"/>
        </w:rPr>
        <w:t>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auto"/>
          <w:sz w:val="24"/>
          <w:highlight w:val="none"/>
          <w:lang w:eastAsia="zh-CN"/>
        </w:rPr>
        <w:t>：</w:t>
      </w:r>
      <w:r>
        <w:rPr>
          <w:rFonts w:hint="eastAsia" w:ascii="宋体" w:hAnsi="宋体"/>
          <w:color w:val="auto"/>
          <w:sz w:val="24"/>
          <w:highlight w:val="none"/>
        </w:rPr>
        <w:t>//credit.jiangsu.gov.cn/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6C2ED7C8">
      <w:pPr>
        <w:pStyle w:val="190"/>
        <w:keepNext w:val="0"/>
        <w:keepLines w:val="0"/>
        <w:tabs>
          <w:tab w:val="left" w:pos="5191"/>
        </w:tabs>
        <w:spacing w:before="200" w:after="200" w:line="360" w:lineRule="auto"/>
        <w:ind w:firstLine="446"/>
        <w:rPr>
          <w:rFonts w:ascii="宋体" w:hAnsi="宋体"/>
          <w:color w:val="auto"/>
          <w:sz w:val="30"/>
          <w:highlight w:val="none"/>
        </w:rPr>
      </w:pPr>
      <w:bookmarkStart w:id="280" w:name="_Toc73364896"/>
      <w:bookmarkStart w:id="281" w:name="_Toc1836"/>
      <w:bookmarkStart w:id="282" w:name="_Toc28505"/>
      <w:bookmarkStart w:id="283" w:name="_Toc73365509"/>
      <w:bookmarkStart w:id="284" w:name="_Toc29271"/>
      <w:bookmarkStart w:id="285" w:name="_Toc29266"/>
      <w:r>
        <w:rPr>
          <w:rFonts w:hint="eastAsia" w:ascii="宋体" w:hAnsi="宋体"/>
          <w:color w:val="auto"/>
          <w:sz w:val="30"/>
          <w:highlight w:val="none"/>
        </w:rPr>
        <w:t>3</w:t>
      </w:r>
      <w:r>
        <w:rPr>
          <w:rFonts w:hint="eastAsia" w:ascii="宋体" w:hAnsi="宋体"/>
          <w:color w:val="auto"/>
          <w:sz w:val="30"/>
          <w:highlight w:val="none"/>
          <w:lang w:val="en-US" w:eastAsia="zh-CN"/>
        </w:rPr>
        <w:t>4</w:t>
      </w:r>
      <w:r>
        <w:rPr>
          <w:rFonts w:hint="eastAsia" w:ascii="宋体" w:hAnsi="宋体"/>
          <w:color w:val="auto"/>
          <w:sz w:val="30"/>
          <w:highlight w:val="none"/>
        </w:rPr>
        <w:t>．解释权</w:t>
      </w:r>
      <w:bookmarkEnd w:id="280"/>
      <w:bookmarkEnd w:id="281"/>
      <w:bookmarkEnd w:id="282"/>
      <w:bookmarkEnd w:id="283"/>
      <w:bookmarkEnd w:id="284"/>
      <w:bookmarkEnd w:id="285"/>
    </w:p>
    <w:p w14:paraId="558A84AD">
      <w:pPr>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4</w:t>
      </w:r>
      <w:r>
        <w:rPr>
          <w:rFonts w:hint="eastAsia" w:ascii="宋体" w:hAnsi="宋体"/>
          <w:color w:val="auto"/>
          <w:sz w:val="24"/>
          <w:highlight w:val="none"/>
        </w:rPr>
        <w:t>.1除相关法律、法规规定外，本磋商文件的解释权归</w:t>
      </w:r>
      <w:r>
        <w:rPr>
          <w:rFonts w:hint="eastAsia" w:ascii="宋体" w:hAnsi="宋体"/>
          <w:color w:val="auto"/>
          <w:sz w:val="24"/>
          <w:highlight w:val="none"/>
          <w:lang w:eastAsia="zh-CN"/>
        </w:rPr>
        <w:t xml:space="preserve">江苏万信项目管理有限公司 </w:t>
      </w:r>
      <w:r>
        <w:rPr>
          <w:rFonts w:hint="eastAsia" w:ascii="宋体" w:hAnsi="宋体"/>
          <w:color w:val="auto"/>
          <w:sz w:val="24"/>
          <w:highlight w:val="none"/>
        </w:rPr>
        <w:t>所有。</w:t>
      </w:r>
    </w:p>
    <w:p w14:paraId="52FA2339">
      <w:pPr>
        <w:pStyle w:val="190"/>
        <w:keepNext w:val="0"/>
        <w:keepLines w:val="0"/>
        <w:tabs>
          <w:tab w:val="left" w:pos="5191"/>
        </w:tabs>
        <w:spacing w:before="200" w:after="200" w:line="360" w:lineRule="auto"/>
        <w:ind w:firstLine="446"/>
        <w:rPr>
          <w:rFonts w:ascii="宋体" w:hAnsi="宋体"/>
          <w:color w:val="auto"/>
          <w:sz w:val="30"/>
          <w:highlight w:val="none"/>
        </w:rPr>
      </w:pPr>
      <w:bookmarkStart w:id="286" w:name="_Toc73364897"/>
      <w:bookmarkStart w:id="287" w:name="_Toc10263"/>
      <w:bookmarkStart w:id="288" w:name="_Toc23968"/>
      <w:bookmarkStart w:id="289" w:name="_Toc25784"/>
      <w:bookmarkStart w:id="290" w:name="_Toc16984"/>
      <w:bookmarkStart w:id="291" w:name="_Toc73365510"/>
      <w:r>
        <w:rPr>
          <w:rFonts w:hint="eastAsia" w:ascii="宋体" w:hAnsi="宋体"/>
          <w:color w:val="auto"/>
          <w:sz w:val="30"/>
          <w:highlight w:val="none"/>
        </w:rPr>
        <w:t>3</w:t>
      </w:r>
      <w:r>
        <w:rPr>
          <w:rFonts w:hint="eastAsia" w:ascii="宋体" w:hAnsi="宋体"/>
          <w:color w:val="auto"/>
          <w:sz w:val="30"/>
          <w:highlight w:val="none"/>
          <w:lang w:val="en-US" w:eastAsia="zh-CN"/>
        </w:rPr>
        <w:t>5</w:t>
      </w:r>
      <w:r>
        <w:rPr>
          <w:rFonts w:hint="eastAsia" w:ascii="宋体" w:hAnsi="宋体"/>
          <w:color w:val="auto"/>
          <w:sz w:val="30"/>
          <w:highlight w:val="none"/>
        </w:rPr>
        <w:t>．适用法律及约束力</w:t>
      </w:r>
      <w:bookmarkEnd w:id="286"/>
      <w:bookmarkEnd w:id="287"/>
      <w:bookmarkEnd w:id="288"/>
      <w:bookmarkEnd w:id="289"/>
      <w:bookmarkEnd w:id="290"/>
      <w:bookmarkEnd w:id="291"/>
    </w:p>
    <w:p w14:paraId="1C5C293D">
      <w:pPr>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5</w:t>
      </w:r>
      <w:r>
        <w:rPr>
          <w:rFonts w:hint="eastAsia" w:ascii="宋体" w:hAnsi="宋体"/>
          <w:color w:val="auto"/>
          <w:sz w:val="24"/>
          <w:highlight w:val="none"/>
        </w:rPr>
        <w:t>.1</w:t>
      </w:r>
      <w:r>
        <w:rPr>
          <w:rFonts w:hint="eastAsia" w:ascii="宋体" w:hAnsi="宋体"/>
          <w:b/>
          <w:color w:val="auto"/>
          <w:sz w:val="24"/>
          <w:highlight w:val="none"/>
        </w:rPr>
        <w:t>供应商一旦获取了本磋商文件并参加磋商，即被认为接受了本磋商文件的规定和约束。</w:t>
      </w:r>
    </w:p>
    <w:p w14:paraId="48FCCDFD">
      <w:pPr>
        <w:spacing w:line="360" w:lineRule="auto"/>
        <w:ind w:firstLine="480"/>
        <w:rPr>
          <w:rFonts w:ascii="宋体" w:hAnsi="宋体"/>
          <w:b/>
          <w:color w:val="auto"/>
          <w:sz w:val="36"/>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5</w:t>
      </w:r>
      <w:r>
        <w:rPr>
          <w:rFonts w:hint="eastAsia" w:ascii="宋体" w:hAnsi="宋体"/>
          <w:color w:val="auto"/>
          <w:sz w:val="24"/>
          <w:highlight w:val="none"/>
        </w:rPr>
        <w:t>.2本次采购及由本次采购产生的合同受中华人民共和国法律制约和保护。</w:t>
      </w:r>
    </w:p>
    <w:p w14:paraId="147395DE">
      <w:pPr>
        <w:pStyle w:val="188"/>
        <w:jc w:val="center"/>
        <w:rPr>
          <w:rFonts w:ascii="宋体" w:hAnsi="宋体"/>
          <w:color w:val="auto"/>
          <w:sz w:val="36"/>
          <w:highlight w:val="none"/>
        </w:rPr>
      </w:pPr>
      <w:bookmarkStart w:id="292" w:name="_Toc73364898"/>
      <w:bookmarkStart w:id="293" w:name="_Toc73365511"/>
      <w:r>
        <w:rPr>
          <w:rFonts w:hint="eastAsia" w:ascii="宋体" w:hAnsi="宋体"/>
          <w:color w:val="auto"/>
          <w:sz w:val="36"/>
          <w:highlight w:val="none"/>
        </w:rPr>
        <w:br w:type="page" w:clear="all"/>
      </w:r>
      <w:bookmarkStart w:id="294" w:name="_Toc17424"/>
      <w:r>
        <w:rPr>
          <w:rFonts w:hint="eastAsia" w:ascii="宋体" w:hAnsi="宋体"/>
          <w:color w:val="auto"/>
          <w:sz w:val="36"/>
          <w:highlight w:val="none"/>
        </w:rPr>
        <w:t>第三部分  合同</w:t>
      </w:r>
      <w:bookmarkEnd w:id="292"/>
      <w:bookmarkEnd w:id="293"/>
      <w:bookmarkEnd w:id="294"/>
    </w:p>
    <w:p w14:paraId="16FF301A">
      <w:pPr>
        <w:rPr>
          <w:color w:val="auto"/>
          <w:highlight w:val="none"/>
        </w:rPr>
      </w:pPr>
      <w:bookmarkStart w:id="295" w:name="EB5d738f80eafe4dad973e91c4d059027e"/>
      <w:bookmarkEnd w:id="295"/>
    </w:p>
    <w:p w14:paraId="2493CBF9">
      <w:pPr>
        <w:pStyle w:val="248"/>
        <w:jc w:val="center"/>
        <w:rPr>
          <w:rStyle w:val="192"/>
          <w:rFonts w:hint="eastAsia" w:ascii="Calibri" w:hAnsi="Calibri" w:eastAsia="黑体" w:cs="Times New Roman"/>
          <w:color w:val="auto"/>
          <w:spacing w:val="45"/>
          <w:sz w:val="56"/>
          <w:szCs w:val="24"/>
          <w:highlight w:val="none"/>
        </w:rPr>
      </w:pPr>
    </w:p>
    <w:p w14:paraId="1CCC63FF">
      <w:pPr>
        <w:pStyle w:val="248"/>
        <w:jc w:val="center"/>
        <w:rPr>
          <w:rStyle w:val="192"/>
          <w:rFonts w:hint="eastAsia" w:ascii="Calibri" w:hAnsi="Calibri" w:eastAsia="黑体" w:cs="Times New Roman"/>
          <w:color w:val="auto"/>
          <w:spacing w:val="45"/>
          <w:sz w:val="56"/>
          <w:szCs w:val="24"/>
          <w:highlight w:val="none"/>
        </w:rPr>
      </w:pPr>
    </w:p>
    <w:p w14:paraId="314450D3">
      <w:pPr>
        <w:pStyle w:val="248"/>
        <w:jc w:val="center"/>
        <w:rPr>
          <w:rStyle w:val="192"/>
          <w:rFonts w:hint="eastAsia" w:ascii="Calibri" w:hAnsi="Calibri" w:eastAsia="黑体" w:cs="Times New Roman"/>
          <w:color w:val="auto"/>
          <w:spacing w:val="45"/>
          <w:sz w:val="56"/>
          <w:szCs w:val="24"/>
          <w:highlight w:val="none"/>
        </w:rPr>
      </w:pPr>
    </w:p>
    <w:p w14:paraId="590EA3C0">
      <w:pPr>
        <w:pStyle w:val="248"/>
        <w:jc w:val="center"/>
        <w:rPr>
          <w:rStyle w:val="192"/>
          <w:rFonts w:ascii="Calibri" w:hAnsi="Calibri" w:eastAsia="黑体" w:cs="Times New Roman"/>
          <w:color w:val="auto"/>
          <w:sz w:val="52"/>
          <w:highlight w:val="none"/>
        </w:rPr>
      </w:pPr>
      <w:r>
        <w:rPr>
          <w:rStyle w:val="192"/>
          <w:rFonts w:hint="eastAsia" w:ascii="Calibri" w:hAnsi="Calibri" w:eastAsia="黑体" w:cs="Times New Roman"/>
          <w:color w:val="auto"/>
          <w:spacing w:val="45"/>
          <w:sz w:val="56"/>
          <w:szCs w:val="24"/>
          <w:highlight w:val="none"/>
        </w:rPr>
        <w:t>丹阳市政府采购合同</w:t>
      </w:r>
    </w:p>
    <w:p w14:paraId="1C854515">
      <w:pPr>
        <w:pStyle w:val="248"/>
        <w:rPr>
          <w:rStyle w:val="192"/>
          <w:rFonts w:ascii="仿宋_GB2312" w:hAnsi="Calibri" w:eastAsia="仿宋_GB2312" w:cs="Times New Roman"/>
          <w:b/>
          <w:color w:val="auto"/>
          <w:sz w:val="32"/>
          <w:highlight w:val="none"/>
        </w:rPr>
      </w:pPr>
      <w:r>
        <w:rPr>
          <w:rStyle w:val="192"/>
          <w:rFonts w:ascii="仿宋_GB2312" w:hAnsi="Calibri" w:eastAsia="仿宋_GB2312" w:cs="Times New Roman"/>
          <w:b/>
          <w:color w:val="auto"/>
          <w:sz w:val="32"/>
          <w:highlight w:val="none"/>
        </w:rPr>
        <w:t xml:space="preserve">  </w:t>
      </w:r>
    </w:p>
    <w:p w14:paraId="083C3382">
      <w:pPr>
        <w:pStyle w:val="249"/>
        <w:ind w:left="0" w:firstLine="0"/>
        <w:rPr>
          <w:rStyle w:val="192"/>
          <w:rFonts w:ascii="仿宋_GB2312" w:hAnsi="Calibri" w:eastAsia="仿宋_GB2312" w:cs="Times New Roman"/>
          <w:b/>
          <w:color w:val="auto"/>
          <w:sz w:val="32"/>
          <w:highlight w:val="none"/>
        </w:rPr>
      </w:pPr>
    </w:p>
    <w:p w14:paraId="0EFB704D">
      <w:pPr>
        <w:pStyle w:val="248"/>
        <w:rPr>
          <w:rStyle w:val="192"/>
          <w:rFonts w:hint="eastAsia" w:ascii="黑体" w:hAnsi="Calibri" w:eastAsia="黑体" w:cs="Times New Roman"/>
          <w:b/>
          <w:color w:val="auto"/>
          <w:sz w:val="32"/>
          <w:szCs w:val="22"/>
          <w:highlight w:val="none"/>
        </w:rPr>
      </w:pPr>
    </w:p>
    <w:p w14:paraId="2723DFFB">
      <w:pPr>
        <w:pStyle w:val="248"/>
        <w:keepNext w:val="0"/>
        <w:keepLines w:val="0"/>
        <w:pageBreakBefore w:val="0"/>
        <w:widowControl w:val="0"/>
        <w:spacing w:before="312" w:after="312"/>
        <w:ind w:firstLine="482"/>
        <w:rPr>
          <w:rStyle w:val="192"/>
          <w:rFonts w:hint="eastAsia" w:ascii="黑体" w:hAnsi="Calibri" w:eastAsia="黑体" w:cs="Times New Roman"/>
          <w:b/>
          <w:color w:val="auto"/>
          <w:sz w:val="32"/>
          <w:szCs w:val="22"/>
          <w:highlight w:val="none"/>
        </w:rPr>
      </w:pPr>
    </w:p>
    <w:p w14:paraId="53CD8546">
      <w:pPr>
        <w:pStyle w:val="248"/>
        <w:keepNext w:val="0"/>
        <w:keepLines w:val="0"/>
        <w:pageBreakBefore w:val="0"/>
        <w:widowControl w:val="0"/>
        <w:spacing w:before="721" w:after="721"/>
        <w:rPr>
          <w:rStyle w:val="192"/>
          <w:rFonts w:hint="eastAsia" w:ascii="黑体" w:hAnsi="Calibri" w:eastAsia="黑体" w:cs="Times New Roman"/>
          <w:b/>
          <w:color w:val="auto"/>
          <w:sz w:val="32"/>
          <w:szCs w:val="22"/>
          <w:highlight w:val="none"/>
        </w:rPr>
      </w:pPr>
    </w:p>
    <w:p w14:paraId="1876E04D">
      <w:pPr>
        <w:pStyle w:val="248"/>
        <w:keepNext w:val="0"/>
        <w:keepLines w:val="0"/>
        <w:pageBreakBefore w:val="0"/>
        <w:widowControl w:val="0"/>
        <w:spacing w:before="721" w:after="721"/>
        <w:ind w:firstLine="1134"/>
        <w:rPr>
          <w:rStyle w:val="192"/>
          <w:rFonts w:hint="eastAsia" w:ascii="黑体" w:hAnsi="Calibri" w:eastAsia="黑体" w:cs="Times New Roman"/>
          <w:b/>
          <w:color w:val="auto"/>
          <w:sz w:val="32"/>
          <w:szCs w:val="22"/>
          <w:highlight w:val="none"/>
          <w:lang w:eastAsia="zh-CN"/>
        </w:rPr>
      </w:pPr>
      <w:r>
        <w:rPr>
          <w:rStyle w:val="192"/>
          <w:rFonts w:hint="eastAsia" w:ascii="黑体" w:hAnsi="Calibri" w:eastAsia="黑体" w:cs="Times New Roman"/>
          <w:b/>
          <w:color w:val="auto"/>
          <w:sz w:val="32"/>
          <w:szCs w:val="22"/>
          <w:highlight w:val="none"/>
        </w:rPr>
        <w:t>项目编号：</w:t>
      </w:r>
      <w:r>
        <w:rPr>
          <w:rStyle w:val="192"/>
          <w:rFonts w:hint="eastAsia" w:ascii="黑体" w:eastAsia="黑体" w:cs="Times New Roman"/>
          <w:b/>
          <w:color w:val="auto"/>
          <w:sz w:val="32"/>
          <w:szCs w:val="22"/>
          <w:highlight w:val="none"/>
          <w:lang w:eastAsia="zh-CN"/>
        </w:rPr>
        <w:t>JSZC-321181-DYWX-C2026-0008</w:t>
      </w:r>
    </w:p>
    <w:p w14:paraId="6FD5D825">
      <w:pPr>
        <w:pStyle w:val="248"/>
        <w:keepNext w:val="0"/>
        <w:keepLines w:val="0"/>
        <w:pageBreakBefore w:val="0"/>
        <w:widowControl w:val="0"/>
        <w:spacing w:before="721" w:after="721"/>
        <w:ind w:firstLine="1134"/>
        <w:rPr>
          <w:rStyle w:val="192"/>
          <w:rFonts w:hint="eastAsia" w:ascii="黑体" w:hAnsi="Calibri" w:eastAsia="黑体" w:cs="Times New Roman"/>
          <w:b/>
          <w:color w:val="auto"/>
          <w:sz w:val="32"/>
          <w:szCs w:val="22"/>
          <w:highlight w:val="none"/>
          <w:lang w:eastAsia="zh-CN"/>
        </w:rPr>
      </w:pPr>
      <w:r>
        <w:rPr>
          <w:rStyle w:val="192"/>
          <w:rFonts w:hint="eastAsia" w:ascii="黑体" w:hAnsi="Calibri" w:eastAsia="黑体" w:cs="Times New Roman"/>
          <w:b/>
          <w:color w:val="auto"/>
          <w:sz w:val="32"/>
          <w:szCs w:val="22"/>
          <w:highlight w:val="none"/>
        </w:rPr>
        <w:t>项目名称：</w:t>
      </w:r>
      <w:r>
        <w:rPr>
          <w:rStyle w:val="192"/>
          <w:rFonts w:hint="eastAsia" w:ascii="黑体" w:eastAsia="黑体" w:cs="Times New Roman"/>
          <w:b/>
          <w:color w:val="auto"/>
          <w:sz w:val="32"/>
          <w:szCs w:val="22"/>
          <w:highlight w:val="none"/>
          <w:lang w:eastAsia="zh-CN"/>
        </w:rPr>
        <w:t>丹阳市正则高级中学宿舍修缮出新项目</w:t>
      </w:r>
    </w:p>
    <w:p w14:paraId="75865B61">
      <w:pPr>
        <w:pStyle w:val="248"/>
        <w:keepNext w:val="0"/>
        <w:keepLines w:val="0"/>
        <w:pageBreakBefore w:val="0"/>
        <w:widowControl w:val="0"/>
        <w:spacing w:before="721" w:after="721"/>
        <w:ind w:firstLine="1134"/>
        <w:rPr>
          <w:rStyle w:val="192"/>
          <w:rFonts w:hint="eastAsia" w:ascii="黑体" w:hAnsi="Calibri" w:eastAsia="黑体" w:cs="Times New Roman"/>
          <w:b/>
          <w:color w:val="auto"/>
          <w:sz w:val="32"/>
          <w:szCs w:val="22"/>
          <w:highlight w:val="none"/>
          <w:lang w:val="en-US" w:eastAsia="zh-CN"/>
        </w:rPr>
      </w:pPr>
      <w:r>
        <w:rPr>
          <w:rStyle w:val="192"/>
          <w:rFonts w:hint="eastAsia" w:ascii="黑体" w:eastAsia="黑体" w:cs="Times New Roman"/>
          <w:b/>
          <w:color w:val="auto"/>
          <w:sz w:val="32"/>
          <w:szCs w:val="22"/>
          <w:highlight w:val="none"/>
          <w:lang w:eastAsia="zh-CN"/>
        </w:rPr>
        <w:t>发包</w:t>
      </w:r>
      <w:r>
        <w:rPr>
          <w:rStyle w:val="192"/>
          <w:rFonts w:hint="eastAsia" w:ascii="黑体" w:hAnsi="Calibri" w:eastAsia="黑体" w:cs="Times New Roman"/>
          <w:b/>
          <w:color w:val="auto"/>
          <w:sz w:val="32"/>
          <w:szCs w:val="22"/>
          <w:highlight w:val="none"/>
        </w:rPr>
        <w:t>单位：</w:t>
      </w:r>
      <w:r>
        <w:rPr>
          <w:rStyle w:val="192"/>
          <w:rFonts w:hint="eastAsia" w:ascii="黑体" w:eastAsia="黑体" w:cs="Times New Roman"/>
          <w:b/>
          <w:color w:val="auto"/>
          <w:sz w:val="32"/>
          <w:szCs w:val="22"/>
          <w:highlight w:val="none"/>
          <w:lang w:eastAsia="zh-CN"/>
        </w:rPr>
        <w:t>丹阳市正则高级中学</w:t>
      </w:r>
    </w:p>
    <w:p w14:paraId="1650D1AF">
      <w:pPr>
        <w:pStyle w:val="248"/>
        <w:keepNext w:val="0"/>
        <w:keepLines w:val="0"/>
        <w:pageBreakBefore w:val="0"/>
        <w:widowControl w:val="0"/>
        <w:spacing w:before="721" w:after="721"/>
        <w:ind w:firstLine="1134"/>
        <w:rPr>
          <w:rStyle w:val="192"/>
          <w:rFonts w:hint="eastAsia" w:ascii="黑体" w:hAnsi="Calibri" w:eastAsia="黑体" w:cs="Times New Roman"/>
          <w:b/>
          <w:color w:val="auto"/>
          <w:sz w:val="28"/>
          <w:szCs w:val="21"/>
          <w:highlight w:val="none"/>
        </w:rPr>
      </w:pPr>
      <w:r>
        <w:rPr>
          <w:rStyle w:val="192"/>
          <w:rFonts w:hint="eastAsia" w:ascii="黑体" w:hAnsi="Calibri" w:eastAsia="黑体" w:cs="Times New Roman"/>
          <w:b/>
          <w:color w:val="auto"/>
          <w:sz w:val="32"/>
          <w:szCs w:val="22"/>
          <w:highlight w:val="none"/>
        </w:rPr>
        <w:t>承包单位：</w:t>
      </w:r>
    </w:p>
    <w:p w14:paraId="0EE643BF">
      <w:pPr>
        <w:pageBreakBefore w:val="0"/>
        <w:spacing w:line="420" w:lineRule="exact"/>
        <w:ind w:firstLine="440"/>
        <w:rPr>
          <w:rFonts w:hint="eastAsia"/>
          <w:color w:val="auto"/>
          <w:sz w:val="22"/>
          <w:szCs w:val="22"/>
          <w:highlight w:val="none"/>
        </w:rPr>
      </w:pPr>
      <w:r>
        <w:rPr>
          <w:rStyle w:val="192"/>
          <w:rFonts w:hint="eastAsia" w:ascii="楷体" w:hAnsi="楷体" w:eastAsia="楷体" w:cs="Times New Roman"/>
          <w:b/>
          <w:color w:val="auto"/>
          <w:sz w:val="32"/>
          <w:szCs w:val="32"/>
          <w:highlight w:val="none"/>
        </w:rPr>
        <w:br w:type="page" w:clear="all"/>
      </w:r>
    </w:p>
    <w:p w14:paraId="756BBC28">
      <w:pPr>
        <w:spacing w:line="360" w:lineRule="auto"/>
        <w:jc w:val="center"/>
        <w:rPr>
          <w:rFonts w:hint="eastAsia" w:ascii="宋体" w:hAnsi="宋体" w:eastAsia="宋体" w:cs="宋体"/>
          <w:b w:val="0"/>
          <w:color w:val="auto"/>
          <w:sz w:val="36"/>
          <w:szCs w:val="36"/>
          <w:highlight w:val="none"/>
        </w:rPr>
      </w:pPr>
      <w:r>
        <w:rPr>
          <w:rFonts w:hint="eastAsia" w:ascii="宋体" w:hAnsi="宋体" w:eastAsia="宋体" w:cs="宋体"/>
          <w:b/>
          <w:color w:val="auto"/>
          <w:sz w:val="28"/>
          <w:szCs w:val="28"/>
          <w:highlight w:val="none"/>
        </w:rPr>
        <w:t>第一部分 合同协议书</w:t>
      </w:r>
    </w:p>
    <w:p w14:paraId="0B9001D8">
      <w:pPr>
        <w:pageBreakBefore w:val="0"/>
        <w:widowControl w:val="0"/>
        <w:spacing w:line="400" w:lineRule="exact"/>
        <w:rPr>
          <w:rFonts w:hint="eastAsia" w:ascii="宋体" w:hAnsi="宋体" w:eastAsia="宋体" w:cs="宋体"/>
          <w:b/>
          <w:color w:val="auto"/>
          <w:szCs w:val="21"/>
          <w:highlight w:val="none"/>
          <w:u w:val="single"/>
          <w:lang w:eastAsia="zh-CN"/>
        </w:rPr>
      </w:pPr>
      <w:r>
        <w:rPr>
          <w:rFonts w:hint="eastAsia" w:ascii="宋体" w:hAnsi="宋体" w:eastAsia="宋体" w:cs="宋体"/>
          <w:b/>
          <w:color w:val="auto"/>
          <w:szCs w:val="21"/>
          <w:highlight w:val="none"/>
        </w:rPr>
        <w:t>发包人（全称）：</w:t>
      </w:r>
      <w:r>
        <w:rPr>
          <w:rFonts w:hint="eastAsia" w:ascii="宋体" w:hAnsi="宋体" w:cs="宋体"/>
          <w:b/>
          <w:color w:val="auto"/>
          <w:szCs w:val="21"/>
          <w:highlight w:val="none"/>
          <w:u w:val="single"/>
          <w:lang w:eastAsia="zh-CN"/>
        </w:rPr>
        <w:t>丹阳市正则高级中学</w:t>
      </w:r>
    </w:p>
    <w:p w14:paraId="791519FC">
      <w:pPr>
        <w:pageBreakBefore w:val="0"/>
        <w:widowControl w:val="0"/>
        <w:spacing w:line="400" w:lineRule="exact"/>
        <w:rPr>
          <w:rFonts w:hint="default" w:ascii="宋体" w:hAnsi="宋体" w:eastAsia="宋体" w:cs="宋体"/>
          <w:b/>
          <w:color w:val="auto"/>
          <w:szCs w:val="21"/>
          <w:highlight w:val="none"/>
          <w:u w:val="single"/>
          <w:lang w:val="en-US" w:eastAsia="zh-CN"/>
        </w:rPr>
      </w:pPr>
      <w:r>
        <w:rPr>
          <w:rFonts w:hint="eastAsia" w:ascii="宋体" w:hAnsi="宋体" w:eastAsia="宋体" w:cs="宋体"/>
          <w:b/>
          <w:color w:val="auto"/>
          <w:szCs w:val="21"/>
          <w:highlight w:val="none"/>
        </w:rPr>
        <w:t>承包人（全称）：</w:t>
      </w:r>
      <w:bookmarkStart w:id="296" w:name="EB814c213d03744bc2b0425e047312c28f"/>
      <w:bookmarkEnd w:id="296"/>
      <w:r>
        <w:rPr>
          <w:rFonts w:hint="eastAsia" w:ascii="宋体" w:hAnsi="宋体" w:cs="宋体"/>
          <w:b/>
          <w:color w:val="auto"/>
          <w:szCs w:val="21"/>
          <w:highlight w:val="none"/>
          <w:u w:val="single"/>
          <w:lang w:val="en-US" w:eastAsia="zh-CN"/>
        </w:rPr>
        <w:t xml:space="preserve">                    </w:t>
      </w:r>
    </w:p>
    <w:p w14:paraId="3AD3D763">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根据《中华人民共和国民法典》、《中华人民共和国建筑法》及有关法律规定，遵循平等、自愿、公平和诚实信用的原则，双方就</w:t>
      </w:r>
      <w:r>
        <w:rPr>
          <w:rFonts w:hint="eastAsia" w:ascii="宋体" w:hAnsi="宋体" w:cs="宋体"/>
          <w:color w:val="auto"/>
          <w:szCs w:val="21"/>
          <w:highlight w:val="none"/>
          <w:u w:val="single"/>
          <w:lang w:eastAsia="zh-CN"/>
        </w:rPr>
        <w:t>丹阳市正则高级中学宿舍修缮出新项目</w:t>
      </w:r>
      <w:r>
        <w:rPr>
          <w:rFonts w:hint="eastAsia" w:ascii="宋体" w:hAnsi="宋体" w:eastAsia="宋体" w:cs="宋体"/>
          <w:color w:val="auto"/>
          <w:szCs w:val="21"/>
          <w:highlight w:val="none"/>
        </w:rPr>
        <w:t>工程施工及有关事项协商一致，共同达成如下协议：</w:t>
      </w:r>
    </w:p>
    <w:p w14:paraId="0C3DB286">
      <w:pPr>
        <w:pStyle w:val="5"/>
        <w:pageBreakBefore w:val="0"/>
        <w:widowControl w:val="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一、工程概况</w:t>
      </w:r>
    </w:p>
    <w:p w14:paraId="3BBDC79C">
      <w:pPr>
        <w:keepNext w:val="0"/>
        <w:keepLines w:val="0"/>
        <w:pageBreakBefore w:val="0"/>
        <w:widowControl w:val="0"/>
        <w:spacing w:line="400" w:lineRule="exact"/>
        <w:ind w:firstLine="411"/>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1.工程名称</w:t>
      </w:r>
      <w:r>
        <w:rPr>
          <w:rFonts w:hint="eastAsia" w:ascii="宋体" w:hAnsi="宋体" w:eastAsia="宋体" w:cs="宋体"/>
          <w:color w:val="auto"/>
          <w:szCs w:val="21"/>
          <w:highlight w:val="none"/>
        </w:rPr>
        <w:t>：</w:t>
      </w:r>
      <w:r>
        <w:rPr>
          <w:rFonts w:hint="eastAsia" w:ascii="宋体" w:hAnsi="宋体" w:cs="宋体"/>
          <w:color w:val="auto"/>
          <w:szCs w:val="21"/>
          <w:highlight w:val="none"/>
          <w:u w:val="single"/>
          <w:lang w:val="en-US" w:eastAsia="zh-CN"/>
        </w:rPr>
        <w:t>丹阳市正则高级中学宿舍修缮出新项目</w:t>
      </w:r>
    </w:p>
    <w:p w14:paraId="5951400D">
      <w:pPr>
        <w:keepNext w:val="0"/>
        <w:keepLines w:val="0"/>
        <w:pageBreakBefore w:val="0"/>
        <w:widowControl w:val="0"/>
        <w:spacing w:line="400" w:lineRule="exact"/>
        <w:ind w:firstLine="411"/>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2.工程地点：</w:t>
      </w:r>
      <w:bookmarkStart w:id="297" w:name="EB6b8d67ecfe394fcd8769df00f2f2f172"/>
      <w:r>
        <w:rPr>
          <w:rFonts w:hint="eastAsia" w:ascii="宋体" w:hAnsi="宋体" w:eastAsia="宋体" w:cs="宋体"/>
          <w:bCs/>
          <w:color w:val="auto"/>
          <w:szCs w:val="21"/>
          <w:highlight w:val="none"/>
          <w:u w:val="single"/>
        </w:rPr>
        <w:t>丹阳市</w:t>
      </w:r>
      <w:bookmarkEnd w:id="297"/>
    </w:p>
    <w:p w14:paraId="1F863AEB">
      <w:pPr>
        <w:keepNext w:val="0"/>
        <w:keepLines w:val="0"/>
        <w:pageBreakBefore w:val="0"/>
        <w:widowControl w:val="0"/>
        <w:spacing w:line="400" w:lineRule="exact"/>
        <w:ind w:firstLine="411"/>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3.工程立项批准文号：</w:t>
      </w:r>
      <w:r>
        <w:rPr>
          <w:rFonts w:hint="eastAsia" w:ascii="宋体" w:hAnsi="宋体" w:cs="宋体"/>
          <w:bCs/>
          <w:color w:val="auto"/>
          <w:szCs w:val="21"/>
          <w:highlight w:val="none"/>
          <w:u w:val="single"/>
          <w:lang w:val="en-US" w:eastAsia="zh-CN"/>
        </w:rPr>
        <w:t xml:space="preserve">            </w:t>
      </w:r>
    </w:p>
    <w:p w14:paraId="56515B8E">
      <w:pPr>
        <w:keepNext w:val="0"/>
        <w:keepLines w:val="0"/>
        <w:pageBreakBefore w:val="0"/>
        <w:widowControl w:val="0"/>
        <w:spacing w:line="400" w:lineRule="exact"/>
        <w:ind w:firstLine="411"/>
        <w:rPr>
          <w:rFonts w:hint="default" w:ascii="宋体" w:hAnsi="宋体" w:eastAsia="宋体" w:cs="宋体"/>
          <w:bCs/>
          <w:color w:val="auto"/>
          <w:szCs w:val="21"/>
          <w:highlight w:val="none"/>
          <w:lang w:val="en-US"/>
        </w:rPr>
      </w:pPr>
      <w:r>
        <w:rPr>
          <w:rFonts w:hint="eastAsia" w:ascii="宋体" w:hAnsi="宋体" w:eastAsia="宋体" w:cs="宋体"/>
          <w:bCs/>
          <w:color w:val="auto"/>
          <w:szCs w:val="21"/>
          <w:highlight w:val="none"/>
        </w:rPr>
        <w:t>4.资金来源：</w:t>
      </w:r>
      <w:r>
        <w:rPr>
          <w:rFonts w:hint="eastAsia" w:ascii="宋体" w:hAnsi="宋体" w:cs="宋体"/>
          <w:bCs/>
          <w:color w:val="auto"/>
          <w:szCs w:val="21"/>
          <w:highlight w:val="none"/>
          <w:u w:val="single"/>
          <w:lang w:val="en-US" w:eastAsia="zh-CN"/>
        </w:rPr>
        <w:t>市</w:t>
      </w:r>
      <w:r>
        <w:rPr>
          <w:rFonts w:hint="eastAsia" w:ascii="宋体" w:hAnsi="宋体" w:cs="宋体"/>
          <w:bCs/>
          <w:color w:val="auto"/>
          <w:szCs w:val="21"/>
          <w:highlight w:val="none"/>
          <w:u w:val="single"/>
          <w:lang w:eastAsia="zh-CN"/>
        </w:rPr>
        <w:t>财政资金</w:t>
      </w:r>
      <w:r>
        <w:rPr>
          <w:rFonts w:hint="eastAsia" w:ascii="宋体" w:hAnsi="宋体" w:cs="宋体"/>
          <w:bCs/>
          <w:color w:val="auto"/>
          <w:szCs w:val="21"/>
          <w:highlight w:val="none"/>
          <w:u w:val="single"/>
          <w:lang w:val="en-US" w:eastAsia="zh-CN"/>
        </w:rPr>
        <w:t>100万元，剩余资金自筹</w:t>
      </w:r>
    </w:p>
    <w:p w14:paraId="437B9540">
      <w:pPr>
        <w:keepNext w:val="0"/>
        <w:keepLines w:val="0"/>
        <w:pageBreakBefore w:val="0"/>
        <w:widowControl w:val="0"/>
        <w:spacing w:line="400" w:lineRule="exact"/>
        <w:ind w:firstLine="411"/>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5.工程内容：</w:t>
      </w:r>
      <w:r>
        <w:rPr>
          <w:rFonts w:hint="eastAsia" w:ascii="宋体" w:hAnsi="宋体" w:eastAsia="宋体" w:cs="宋体"/>
          <w:bCs/>
          <w:color w:val="auto"/>
          <w:szCs w:val="21"/>
          <w:highlight w:val="none"/>
          <w:u w:val="single"/>
        </w:rPr>
        <w:t>对丹阳市正则高级中学1、2、3号宿舍楼内墙、门窗以及卫生间等进行修缮出新，总建筑面积约6300平方米</w:t>
      </w:r>
      <w:r>
        <w:rPr>
          <w:rFonts w:hint="eastAsia" w:ascii="宋体" w:hAnsi="宋体" w:eastAsia="宋体" w:cs="宋体"/>
          <w:bCs/>
          <w:color w:val="auto"/>
          <w:szCs w:val="21"/>
          <w:highlight w:val="none"/>
          <w:u w:val="single"/>
          <w:lang w:eastAsia="zh-CN"/>
        </w:rPr>
        <w:t>。</w:t>
      </w:r>
    </w:p>
    <w:p w14:paraId="66233177">
      <w:pPr>
        <w:keepNext w:val="0"/>
        <w:keepLines w:val="0"/>
        <w:pageBreakBefore w:val="0"/>
        <w:widowControl w:val="0"/>
        <w:spacing w:line="400" w:lineRule="exact"/>
        <w:ind w:firstLine="411"/>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群体工程应附《承包人承揽工程项目一览表》（附件1）。</w:t>
      </w:r>
    </w:p>
    <w:p w14:paraId="106A2FB2">
      <w:pPr>
        <w:keepNext w:val="0"/>
        <w:keepLines w:val="0"/>
        <w:pageBreakBefore w:val="0"/>
        <w:widowControl w:val="0"/>
        <w:spacing w:line="400" w:lineRule="exact"/>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6.工程承包范围：</w:t>
      </w:r>
    </w:p>
    <w:p w14:paraId="1248DE4D">
      <w:pPr>
        <w:keepNext w:val="0"/>
        <w:keepLines w:val="0"/>
        <w:pageBreakBefore w:val="0"/>
        <w:widowControl w:val="0"/>
        <w:spacing w:line="400" w:lineRule="exact"/>
        <w:ind w:firstLine="420"/>
        <w:rPr>
          <w:rFonts w:hint="eastAsia" w:ascii="宋体" w:hAnsi="宋体" w:eastAsia="宋体" w:cs="宋体"/>
          <w:color w:val="auto"/>
          <w:szCs w:val="21"/>
          <w:highlight w:val="none"/>
        </w:rPr>
      </w:pPr>
      <w:bookmarkStart w:id="298" w:name="EB3617bbefe36b46c4a9348fa99aae74c5"/>
      <w:r>
        <w:rPr>
          <w:rFonts w:hint="eastAsia" w:ascii="宋体" w:hAnsi="宋体" w:cs="宋体"/>
          <w:color w:val="auto"/>
          <w:szCs w:val="21"/>
          <w:highlight w:val="none"/>
          <w:u w:val="single"/>
          <w:lang w:eastAsia="zh-CN"/>
        </w:rPr>
        <w:t>丹阳市正则高级中学宿舍修缮出新项目（</w:t>
      </w:r>
      <w:r>
        <w:rPr>
          <w:rFonts w:hint="eastAsia" w:ascii="宋体" w:hAnsi="宋体" w:eastAsia="宋体" w:cs="宋体"/>
          <w:color w:val="auto"/>
          <w:szCs w:val="21"/>
          <w:highlight w:val="none"/>
          <w:u w:val="single"/>
        </w:rPr>
        <w:t>设计图纸及招标工程量清单内所有内容</w:t>
      </w:r>
      <w:r>
        <w:rPr>
          <w:rFonts w:hint="eastAsia" w:ascii="宋体" w:hAnsi="宋体" w:cs="宋体"/>
          <w:color w:val="auto"/>
          <w:szCs w:val="21"/>
          <w:highlight w:val="none"/>
          <w:u w:val="single"/>
          <w:lang w:eastAsia="zh-CN"/>
        </w:rPr>
        <w:t>）</w:t>
      </w:r>
      <w:r>
        <w:rPr>
          <w:rFonts w:hint="eastAsia" w:ascii="宋体" w:hAnsi="宋体" w:eastAsia="宋体" w:cs="宋体"/>
          <w:color w:val="auto"/>
          <w:szCs w:val="21"/>
          <w:highlight w:val="none"/>
          <w:u w:val="single"/>
        </w:rPr>
        <w:t>的施工</w:t>
      </w:r>
      <w:bookmarkEnd w:id="298"/>
    </w:p>
    <w:p w14:paraId="3987BE08">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二、合同工期</w:t>
      </w:r>
    </w:p>
    <w:p w14:paraId="35B972E2">
      <w:pPr>
        <w:keepNext w:val="0"/>
        <w:keepLines w:val="0"/>
        <w:pageBreakBefore w:val="0"/>
        <w:widowControl w:val="0"/>
        <w:spacing w:line="400" w:lineRule="exact"/>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计划开工日期：</w:t>
      </w:r>
      <w:bookmarkStart w:id="299" w:name="EB9cc0e774f145463e99421fbfb64bbbd4"/>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年</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月</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日</w:t>
      </w:r>
      <w:bookmarkEnd w:id="299"/>
    </w:p>
    <w:p w14:paraId="668E393B">
      <w:pPr>
        <w:keepNext w:val="0"/>
        <w:keepLines w:val="0"/>
        <w:pageBreakBefore w:val="0"/>
        <w:widowControl w:val="0"/>
        <w:spacing w:line="400" w:lineRule="exact"/>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计划竣工日期：</w:t>
      </w:r>
      <w:bookmarkStart w:id="300" w:name="EB8c4514a4e74d445cb69700e8bc11c14a"/>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年</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月</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日</w:t>
      </w:r>
      <w:bookmarkEnd w:id="300"/>
    </w:p>
    <w:p w14:paraId="03980142">
      <w:pPr>
        <w:keepNext w:val="0"/>
        <w:keepLines w:val="0"/>
        <w:pageBreakBefore w:val="0"/>
        <w:widowControl w:val="0"/>
        <w:spacing w:line="400" w:lineRule="exact"/>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工期总日历天数：</w:t>
      </w:r>
      <w:r>
        <w:rPr>
          <w:rFonts w:hint="eastAsia" w:ascii="宋体" w:hAnsi="宋体" w:cs="宋体"/>
          <w:color w:val="auto"/>
          <w:szCs w:val="21"/>
          <w:highlight w:val="none"/>
          <w:u w:val="single"/>
          <w:lang w:val="en-US" w:eastAsia="zh-CN"/>
        </w:rPr>
        <w:t xml:space="preserve"> 45 </w:t>
      </w:r>
      <w:r>
        <w:rPr>
          <w:rFonts w:hint="eastAsia" w:ascii="宋体" w:hAnsi="宋体" w:eastAsia="宋体" w:cs="宋体"/>
          <w:color w:val="auto"/>
          <w:szCs w:val="21"/>
          <w:highlight w:val="none"/>
        </w:rPr>
        <w:t>天。工期总日历天数与根据前述计划开竣工日期计算的工期天数不一致的，以工期总日历天数为准。</w:t>
      </w:r>
    </w:p>
    <w:p w14:paraId="7C456752">
      <w:pPr>
        <w:pStyle w:val="5"/>
        <w:pageBreakBefore w:val="0"/>
        <w:widowControl w:val="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bCs/>
          <w:color w:val="auto"/>
          <w:sz w:val="21"/>
          <w:szCs w:val="21"/>
          <w:highlight w:val="none"/>
        </w:rPr>
        <w:t xml:space="preserve">  三、质量标准</w:t>
      </w:r>
    </w:p>
    <w:p w14:paraId="15711B4B">
      <w:pPr>
        <w:keepNext w:val="0"/>
        <w:keepLines w:val="0"/>
        <w:pageBreakBefore w:val="0"/>
        <w:widowControl w:val="0"/>
        <w:spacing w:line="400" w:lineRule="exact"/>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工程质量符合</w:t>
      </w:r>
      <w:bookmarkStart w:id="301" w:name="EBb223682902a9401295df4db9c77636b0"/>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合格</w:t>
      </w:r>
      <w:bookmarkEnd w:id="301"/>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标准。</w:t>
      </w:r>
    </w:p>
    <w:p w14:paraId="39A0BF53">
      <w:pPr>
        <w:pStyle w:val="5"/>
        <w:pageBreakBefore w:val="0"/>
        <w:widowControl w:val="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四、签约合同价与合同价格形式</w:t>
      </w:r>
      <w:r>
        <w:rPr>
          <w:rFonts w:hint="eastAsia" w:ascii="宋体" w:hAnsi="宋体" w:eastAsia="宋体" w:cs="宋体"/>
          <w:b/>
          <w:bCs/>
          <w:color w:val="auto"/>
          <w:sz w:val="21"/>
          <w:szCs w:val="21"/>
          <w:highlight w:val="none"/>
        </w:rPr>
        <w:tab/>
      </w:r>
    </w:p>
    <w:p w14:paraId="53C865CE">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1.签约合同价为：</w:t>
      </w:r>
    </w:p>
    <w:p w14:paraId="00F132B5">
      <w:pPr>
        <w:keepNext w:val="0"/>
        <w:keepLines w:val="0"/>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bookmarkStart w:id="302" w:name="EB03ad291ea7b24cc188f68d0e34c84027"/>
      <w:bookmarkEnd w:id="302"/>
      <w:r>
        <w:rPr>
          <w:rFonts w:hint="eastAsia" w:ascii="宋体" w:hAnsi="宋体" w:eastAsia="宋体" w:cs="宋体"/>
          <w:color w:val="auto"/>
          <w:szCs w:val="21"/>
          <w:highlight w:val="none"/>
        </w:rPr>
        <w:t>(¥</w:t>
      </w:r>
      <w:bookmarkStart w:id="303" w:name="EB0eb51910131e44769d16fe5d7f315019"/>
      <w:bookmarkEnd w:id="303"/>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w:t>
      </w:r>
    </w:p>
    <w:p w14:paraId="38481570">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其中：</w:t>
      </w:r>
    </w:p>
    <w:p w14:paraId="46C16F3D">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（1）安全文明施工费：</w:t>
      </w:r>
    </w:p>
    <w:p w14:paraId="40A06C4B">
      <w:pPr>
        <w:keepNext w:val="0"/>
        <w:keepLines w:val="0"/>
        <w:pageBreakBefore w:val="0"/>
        <w:widowControl w:val="0"/>
        <w:spacing w:line="400" w:lineRule="exact"/>
        <w:ind w:firstLine="945"/>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w:t>
      </w:r>
    </w:p>
    <w:p w14:paraId="4087A494">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（2）材料和工程设备暂估价金额：</w:t>
      </w:r>
    </w:p>
    <w:p w14:paraId="4BD9DC9C">
      <w:pPr>
        <w:keepNext w:val="0"/>
        <w:keepLines w:val="0"/>
        <w:pageBreakBefore w:val="0"/>
        <w:widowControl w:val="0"/>
        <w:spacing w:line="400" w:lineRule="exact"/>
        <w:ind w:firstLine="945"/>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w:t>
      </w:r>
    </w:p>
    <w:p w14:paraId="17568248">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（3）专业工程暂估价金额：</w:t>
      </w:r>
    </w:p>
    <w:p w14:paraId="66DC4310">
      <w:pPr>
        <w:keepNext w:val="0"/>
        <w:keepLines w:val="0"/>
        <w:pageBreakBefore w:val="0"/>
        <w:widowControl w:val="0"/>
        <w:spacing w:line="400" w:lineRule="exact"/>
        <w:ind w:firstLine="945"/>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w:t>
      </w:r>
    </w:p>
    <w:p w14:paraId="2B7E2209">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（4）暂列金额：</w:t>
      </w:r>
    </w:p>
    <w:p w14:paraId="55F7227C">
      <w:pPr>
        <w:keepNext w:val="0"/>
        <w:keepLines w:val="0"/>
        <w:pageBreakBefore w:val="0"/>
        <w:widowControl w:val="0"/>
        <w:spacing w:line="400" w:lineRule="exact"/>
        <w:ind w:firstLine="945"/>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w:t>
      </w:r>
    </w:p>
    <w:p w14:paraId="1D588FC9">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2.合同价格形式：</w:t>
      </w:r>
      <w:bookmarkStart w:id="304" w:name="EB2d8a6c7c59e246af89d72f17a158f873"/>
      <w:r>
        <w:rPr>
          <w:rFonts w:hint="eastAsia" w:ascii="宋体" w:hAnsi="宋体" w:eastAsia="宋体" w:cs="宋体"/>
          <w:color w:val="auto"/>
          <w:szCs w:val="21"/>
          <w:highlight w:val="none"/>
          <w:u w:val="single"/>
        </w:rPr>
        <w:t>固定单价合同</w:t>
      </w:r>
      <w:bookmarkEnd w:id="304"/>
      <w:r>
        <w:rPr>
          <w:rFonts w:hint="eastAsia" w:ascii="宋体" w:hAnsi="宋体" w:eastAsia="宋体" w:cs="宋体"/>
          <w:color w:val="auto"/>
          <w:szCs w:val="21"/>
          <w:highlight w:val="none"/>
        </w:rPr>
        <w:t>。</w:t>
      </w:r>
    </w:p>
    <w:p w14:paraId="0E0D3D9A">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五、项目经理</w:t>
      </w:r>
    </w:p>
    <w:p w14:paraId="30FA959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承包人项目经理：</w:t>
      </w:r>
      <w:bookmarkStart w:id="305" w:name="EB68e67a4670a341efb326a3eff50e2dac"/>
      <w:bookmarkEnd w:id="305"/>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798634C5">
      <w:pPr>
        <w:pStyle w:val="5"/>
        <w:pageBreakBefore w:val="0"/>
        <w:widowControl w:val="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六、合同文件构成</w:t>
      </w:r>
    </w:p>
    <w:p w14:paraId="2103D4DF">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本协议书与下列文件一起构成合同文件：</w:t>
      </w:r>
    </w:p>
    <w:p w14:paraId="6D4A63F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（1）中标通知书（如果有）；</w:t>
      </w:r>
    </w:p>
    <w:p w14:paraId="121CF3A7">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（2）投标函及其附录（如果有）； </w:t>
      </w:r>
    </w:p>
    <w:p w14:paraId="39BF273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（3）专用合同条款及其附件；</w:t>
      </w:r>
    </w:p>
    <w:p w14:paraId="2452285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（4）通用合同条款；</w:t>
      </w:r>
    </w:p>
    <w:p w14:paraId="48E7E7E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（5）技术标准和要求；</w:t>
      </w:r>
    </w:p>
    <w:p w14:paraId="0B9A1E0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（6）图纸；</w:t>
      </w:r>
    </w:p>
    <w:p w14:paraId="119AA88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（7）已标价工程量清单或预算书；</w:t>
      </w:r>
    </w:p>
    <w:p w14:paraId="4C749FD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（8）其他合同文件。</w:t>
      </w:r>
    </w:p>
    <w:p w14:paraId="408FCF67">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在合同订立及履行过程中形成的与合同有关的文件均构成合同文件组成部分。</w:t>
      </w:r>
    </w:p>
    <w:p w14:paraId="23B6CA5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6D7144F7">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bCs/>
          <w:color w:val="auto"/>
          <w:sz w:val="21"/>
          <w:szCs w:val="21"/>
          <w:highlight w:val="none"/>
        </w:rPr>
        <w:t xml:space="preserve">  </w:t>
      </w:r>
      <w:r>
        <w:rPr>
          <w:rFonts w:hint="eastAsia" w:ascii="宋体" w:hAnsi="宋体" w:eastAsia="宋体" w:cs="宋体"/>
          <w:b/>
          <w:bCs/>
          <w:color w:val="auto"/>
          <w:sz w:val="21"/>
          <w:szCs w:val="21"/>
          <w:highlight w:val="none"/>
        </w:rPr>
        <w:t xml:space="preserve">  七、承诺</w:t>
      </w:r>
    </w:p>
    <w:p w14:paraId="06B3BD0E">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1.发包人承诺按照法律规定履行项目审批手续、筹集工程建设资金并按照合同约定的期限和方式支付合同价款。</w:t>
      </w:r>
    </w:p>
    <w:p w14:paraId="6C41DC2C">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2.承包人承诺按照法律规定及合同约定组织完成工程施工，确保工程质量和安全，不进行转包及违法分包，并在缺陷责任期及保修期内承担相应的工程维修责任。</w:t>
      </w:r>
    </w:p>
    <w:p w14:paraId="397DB2E6">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3.发包人和承包人通过招投标形式签订合同的，双方理解并承诺不再就同一工程另行签订与合同实质性内容相背离的协议。</w:t>
      </w:r>
    </w:p>
    <w:p w14:paraId="13241EBD">
      <w:pPr>
        <w:pageBreakBefore w:val="0"/>
        <w:widowControl w:val="0"/>
        <w:spacing w:line="400" w:lineRule="exact"/>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    八、词语含义</w:t>
      </w:r>
    </w:p>
    <w:p w14:paraId="1B293186">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本协议书中词语含义与第二部分通用合同条款中赋予的含义相同。</w:t>
      </w:r>
    </w:p>
    <w:p w14:paraId="67436AC9">
      <w:pPr>
        <w:pStyle w:val="5"/>
        <w:pageBreakBefore w:val="0"/>
        <w:widowControl w:val="0"/>
        <w:spacing w:before="120" w:after="12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 xml:space="preserve"> 九、签订时间</w:t>
      </w:r>
    </w:p>
    <w:p w14:paraId="48D299DF">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本合同于</w:t>
      </w:r>
      <w:bookmarkStart w:id="306" w:name="EBa76e539fbbcf4fafbe772ad86d82f489"/>
      <w:bookmarkEnd w:id="306"/>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日</w:t>
      </w:r>
      <w:r>
        <w:rPr>
          <w:rFonts w:hint="eastAsia" w:ascii="宋体" w:hAnsi="宋体" w:eastAsia="宋体" w:cs="宋体"/>
          <w:bCs/>
          <w:color w:val="auto"/>
          <w:szCs w:val="21"/>
          <w:highlight w:val="none"/>
        </w:rPr>
        <w:t>签订。</w:t>
      </w:r>
    </w:p>
    <w:p w14:paraId="697223CA">
      <w:pPr>
        <w:pStyle w:val="5"/>
        <w:pageBreakBefore w:val="0"/>
        <w:widowControl w:val="0"/>
        <w:spacing w:before="120" w:after="120" w:line="40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bCs/>
          <w:color w:val="auto"/>
          <w:sz w:val="21"/>
          <w:szCs w:val="21"/>
          <w:highlight w:val="none"/>
        </w:rPr>
        <w:t>十、签订地点</w:t>
      </w:r>
    </w:p>
    <w:p w14:paraId="0B04C01A">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本合同在</w:t>
      </w:r>
      <w:bookmarkStart w:id="307" w:name="EB2f506739e67749f9ab02fe566677a05f"/>
      <w:bookmarkEnd w:id="307"/>
      <w:r>
        <w:rPr>
          <w:rFonts w:hint="eastAsia" w:ascii="宋体" w:hAnsi="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签订。</w:t>
      </w:r>
    </w:p>
    <w:p w14:paraId="27844A80">
      <w:pPr>
        <w:pStyle w:val="5"/>
        <w:pageBreakBefore w:val="0"/>
        <w:widowControl w:val="0"/>
        <w:spacing w:before="120" w:after="12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bCs/>
          <w:color w:val="auto"/>
          <w:sz w:val="21"/>
          <w:szCs w:val="21"/>
          <w:highlight w:val="none"/>
        </w:rPr>
        <w:t>十一、补充协议</w:t>
      </w:r>
    </w:p>
    <w:p w14:paraId="2676419F">
      <w:pPr>
        <w:pageBreakBefore w:val="0"/>
        <w:widowControl w:val="0"/>
        <w:spacing w:line="400" w:lineRule="exact"/>
        <w:ind w:firstLine="420"/>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合同未尽事宜，合同当事人另行签订补充协议，补充协议是合同的组成部分。</w:t>
      </w:r>
    </w:p>
    <w:p w14:paraId="609FC4C9">
      <w:pPr>
        <w:pStyle w:val="5"/>
        <w:pageBreakBefore w:val="0"/>
        <w:widowControl w:val="0"/>
        <w:spacing w:before="120" w:after="12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bCs/>
          <w:color w:val="auto"/>
          <w:sz w:val="21"/>
          <w:szCs w:val="21"/>
          <w:highlight w:val="none"/>
        </w:rPr>
        <w:t>十二、合同生效</w:t>
      </w:r>
    </w:p>
    <w:p w14:paraId="776C1D9B">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本合同自</w:t>
      </w:r>
      <w:bookmarkStart w:id="308" w:name="EBe96b94978cdd4cebbac34511681b317c"/>
      <w:r>
        <w:rPr>
          <w:rFonts w:hint="eastAsia" w:ascii="宋体" w:hAnsi="宋体" w:eastAsia="宋体" w:cs="宋体"/>
          <w:bCs/>
          <w:color w:val="auto"/>
          <w:szCs w:val="21"/>
          <w:highlight w:val="none"/>
        </w:rPr>
        <w:t>双方法定代表人或授权代表签字并加盖公章后</w:t>
      </w:r>
      <w:bookmarkEnd w:id="308"/>
      <w:r>
        <w:rPr>
          <w:rFonts w:hint="eastAsia" w:ascii="宋体" w:hAnsi="宋体" w:eastAsia="宋体" w:cs="宋体"/>
          <w:bCs/>
          <w:color w:val="auto"/>
          <w:szCs w:val="21"/>
          <w:highlight w:val="none"/>
        </w:rPr>
        <w:t>生效。</w:t>
      </w:r>
    </w:p>
    <w:p w14:paraId="1DF08566">
      <w:pPr>
        <w:pStyle w:val="5"/>
        <w:pageBreakBefore w:val="0"/>
        <w:widowControl w:val="0"/>
        <w:spacing w:before="120" w:after="12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bCs/>
          <w:color w:val="auto"/>
          <w:sz w:val="21"/>
          <w:szCs w:val="21"/>
          <w:highlight w:val="none"/>
        </w:rPr>
        <w:t>十三、合同份数</w:t>
      </w:r>
    </w:p>
    <w:p w14:paraId="444B380F">
      <w:pPr>
        <w:pageBreakBefore w:val="0"/>
        <w:widowControl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本合同一式</w:t>
      </w:r>
      <w:bookmarkStart w:id="309" w:name="EB62c24263150b4e1c859bbabe8fd6c127"/>
      <w:r>
        <w:rPr>
          <w:rFonts w:hint="eastAsia" w:ascii="宋体" w:hAnsi="宋体" w:eastAsia="宋体" w:cs="宋体"/>
          <w:bCs/>
          <w:color w:val="auto"/>
          <w:szCs w:val="21"/>
          <w:highlight w:val="none"/>
        </w:rPr>
        <w:t>陆</w:t>
      </w:r>
      <w:bookmarkEnd w:id="309"/>
      <w:r>
        <w:rPr>
          <w:rFonts w:hint="eastAsia" w:ascii="宋体" w:hAnsi="宋体" w:eastAsia="宋体" w:cs="宋体"/>
          <w:bCs/>
          <w:color w:val="auto"/>
          <w:szCs w:val="21"/>
          <w:highlight w:val="none"/>
        </w:rPr>
        <w:t>份，均具有同等法律效力，发包人执</w:t>
      </w:r>
      <w:bookmarkStart w:id="310" w:name="EBd25ceeba14904f09af77ef7968776fec"/>
      <w:r>
        <w:rPr>
          <w:rFonts w:hint="eastAsia" w:ascii="宋体" w:hAnsi="宋体" w:eastAsia="宋体" w:cs="宋体"/>
          <w:bCs/>
          <w:color w:val="auto"/>
          <w:szCs w:val="21"/>
          <w:highlight w:val="none"/>
        </w:rPr>
        <w:t>肆</w:t>
      </w:r>
      <w:bookmarkEnd w:id="310"/>
      <w:r>
        <w:rPr>
          <w:rFonts w:hint="eastAsia" w:ascii="宋体" w:hAnsi="宋体" w:eastAsia="宋体" w:cs="宋体"/>
          <w:bCs/>
          <w:color w:val="auto"/>
          <w:szCs w:val="21"/>
          <w:highlight w:val="none"/>
        </w:rPr>
        <w:t>份，承包人执</w:t>
      </w:r>
      <w:bookmarkStart w:id="311" w:name="EB1c486b3cb31946b795a693d835d3e8e2"/>
      <w:r>
        <w:rPr>
          <w:rFonts w:hint="eastAsia" w:ascii="宋体" w:hAnsi="宋体" w:eastAsia="宋体" w:cs="宋体"/>
          <w:bCs/>
          <w:color w:val="auto"/>
          <w:szCs w:val="21"/>
          <w:highlight w:val="none"/>
        </w:rPr>
        <w:t>贰</w:t>
      </w:r>
      <w:bookmarkEnd w:id="311"/>
      <w:r>
        <w:rPr>
          <w:rFonts w:hint="eastAsia" w:ascii="宋体" w:hAnsi="宋体" w:eastAsia="宋体" w:cs="宋体"/>
          <w:bCs/>
          <w:color w:val="auto"/>
          <w:szCs w:val="21"/>
          <w:highlight w:val="none"/>
        </w:rPr>
        <w:t>份。</w:t>
      </w:r>
    </w:p>
    <w:p w14:paraId="45971C74">
      <w:pPr>
        <w:pageBreakBefore w:val="0"/>
        <w:widowControl w:val="0"/>
        <w:spacing w:line="400" w:lineRule="exact"/>
        <w:rPr>
          <w:rFonts w:hint="eastAsia" w:ascii="宋体" w:hAnsi="宋体" w:eastAsia="宋体" w:cs="宋体"/>
          <w:color w:val="auto"/>
          <w:szCs w:val="21"/>
          <w:highlight w:val="none"/>
        </w:rPr>
      </w:pPr>
    </w:p>
    <w:tbl>
      <w:tblPr>
        <w:tblStyle w:val="32"/>
        <w:tblW w:w="9465" w:type="dxa"/>
        <w:jc w:val="center"/>
        <w:tblLayout w:type="autofit"/>
        <w:tblCellMar>
          <w:top w:w="0" w:type="dxa"/>
          <w:left w:w="108" w:type="dxa"/>
          <w:bottom w:w="0" w:type="dxa"/>
          <w:right w:w="108" w:type="dxa"/>
        </w:tblCellMar>
      </w:tblPr>
      <w:tblGrid>
        <w:gridCol w:w="1762"/>
        <w:gridCol w:w="3434"/>
        <w:gridCol w:w="1827"/>
        <w:gridCol w:w="2442"/>
      </w:tblGrid>
      <w:tr w14:paraId="1E9CA334">
        <w:tblPrEx>
          <w:tblCellMar>
            <w:top w:w="0" w:type="dxa"/>
            <w:left w:w="108" w:type="dxa"/>
            <w:bottom w:w="0" w:type="dxa"/>
            <w:right w:w="108" w:type="dxa"/>
          </w:tblCellMar>
        </w:tblPrEx>
        <w:trPr>
          <w:trHeight w:val="425" w:hRule="atLeast"/>
          <w:jc w:val="center"/>
        </w:trPr>
        <w:tc>
          <w:tcPr>
            <w:tcW w:w="1762" w:type="dxa"/>
            <w:noWrap w:val="0"/>
            <w:vAlign w:val="center"/>
          </w:tcPr>
          <w:p w14:paraId="58C08C10">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 包 人：</w:t>
            </w:r>
          </w:p>
        </w:tc>
        <w:tc>
          <w:tcPr>
            <w:tcW w:w="3434" w:type="dxa"/>
            <w:noWrap w:val="0"/>
            <w:vAlign w:val="center"/>
          </w:tcPr>
          <w:p w14:paraId="7A673073">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12" w:name="EBbc079446c97c4bf0a786ca5e0d8bfe0d"/>
            <w:bookmarkEnd w:id="312"/>
            <w:r>
              <w:rPr>
                <w:rFonts w:hint="eastAsia" w:ascii="宋体" w:hAnsi="宋体" w:eastAsia="宋体" w:cs="宋体"/>
                <w:color w:val="auto"/>
                <w:sz w:val="21"/>
                <w:szCs w:val="21"/>
                <w:highlight w:val="none"/>
                <w:lang w:val="en-US" w:eastAsia="zh-CN" w:bidi="ar-SA"/>
              </w:rPr>
              <w:t xml:space="preserve">(公章)  </w:t>
            </w:r>
          </w:p>
        </w:tc>
        <w:tc>
          <w:tcPr>
            <w:tcW w:w="1827" w:type="dxa"/>
            <w:noWrap w:val="0"/>
            <w:vAlign w:val="center"/>
          </w:tcPr>
          <w:p w14:paraId="34CD5ADB">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 包 人：</w:t>
            </w:r>
          </w:p>
        </w:tc>
        <w:tc>
          <w:tcPr>
            <w:tcW w:w="2442" w:type="dxa"/>
            <w:noWrap w:val="0"/>
            <w:vAlign w:val="center"/>
          </w:tcPr>
          <w:p w14:paraId="54630204">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13" w:name="EBb775f2e29c794e2492c1e47de590d6c0"/>
            <w:bookmarkEnd w:id="313"/>
            <w:r>
              <w:rPr>
                <w:rFonts w:hint="eastAsia" w:ascii="宋体" w:hAnsi="宋体" w:eastAsia="宋体" w:cs="宋体"/>
                <w:color w:val="auto"/>
                <w:sz w:val="21"/>
                <w:szCs w:val="21"/>
                <w:highlight w:val="none"/>
                <w:lang w:val="en-US" w:eastAsia="zh-CN" w:bidi="ar-SA"/>
              </w:rPr>
              <w:t>(公章)</w:t>
            </w:r>
          </w:p>
        </w:tc>
      </w:tr>
      <w:tr w14:paraId="684F9BD8">
        <w:tblPrEx>
          <w:tblCellMar>
            <w:top w:w="0" w:type="dxa"/>
            <w:left w:w="108" w:type="dxa"/>
            <w:bottom w:w="0" w:type="dxa"/>
            <w:right w:w="108" w:type="dxa"/>
          </w:tblCellMar>
        </w:tblPrEx>
        <w:trPr>
          <w:trHeight w:val="425" w:hRule="atLeast"/>
          <w:jc w:val="center"/>
        </w:trPr>
        <w:tc>
          <w:tcPr>
            <w:tcW w:w="1762" w:type="dxa"/>
            <w:noWrap w:val="0"/>
            <w:vAlign w:val="center"/>
          </w:tcPr>
          <w:p w14:paraId="66B5888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法定代表人或其委托代理人：</w:t>
            </w:r>
          </w:p>
        </w:tc>
        <w:tc>
          <w:tcPr>
            <w:tcW w:w="3434" w:type="dxa"/>
            <w:noWrap w:val="0"/>
            <w:vAlign w:val="center"/>
          </w:tcPr>
          <w:p w14:paraId="65CEE903">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14" w:name="EB48c7d90b908c4643ba74c7a3e0f47880"/>
            <w:bookmarkEnd w:id="314"/>
            <w:r>
              <w:rPr>
                <w:rFonts w:hint="eastAsia" w:ascii="宋体" w:hAnsi="宋体" w:eastAsia="宋体" w:cs="宋体"/>
                <w:color w:val="auto"/>
                <w:sz w:val="21"/>
                <w:szCs w:val="21"/>
                <w:highlight w:val="none"/>
                <w:lang w:val="en-US" w:eastAsia="zh-CN" w:bidi="ar-SA"/>
              </w:rPr>
              <w:t>(签字）</w:t>
            </w:r>
          </w:p>
        </w:tc>
        <w:tc>
          <w:tcPr>
            <w:tcW w:w="1827" w:type="dxa"/>
            <w:noWrap w:val="0"/>
            <w:vAlign w:val="center"/>
          </w:tcPr>
          <w:p w14:paraId="45D78CCA">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法定代表人或其委托代理人：</w:t>
            </w:r>
          </w:p>
        </w:tc>
        <w:tc>
          <w:tcPr>
            <w:tcW w:w="2442" w:type="dxa"/>
            <w:noWrap w:val="0"/>
            <w:vAlign w:val="center"/>
          </w:tcPr>
          <w:p w14:paraId="20411BA1">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15" w:name="EBc1f624df04044e6eac47e0765b946017"/>
            <w:bookmarkEnd w:id="315"/>
            <w:r>
              <w:rPr>
                <w:rFonts w:hint="eastAsia" w:ascii="宋体" w:hAnsi="宋体" w:eastAsia="宋体" w:cs="宋体"/>
                <w:color w:val="auto"/>
                <w:sz w:val="21"/>
                <w:szCs w:val="21"/>
                <w:highlight w:val="none"/>
                <w:lang w:val="en-US" w:eastAsia="zh-CN" w:bidi="ar-SA"/>
              </w:rPr>
              <w:t>(签字)</w:t>
            </w:r>
          </w:p>
        </w:tc>
      </w:tr>
      <w:tr w14:paraId="6E6CF81C">
        <w:tblPrEx>
          <w:tblCellMar>
            <w:top w:w="0" w:type="dxa"/>
            <w:left w:w="108" w:type="dxa"/>
            <w:bottom w:w="0" w:type="dxa"/>
            <w:right w:w="108" w:type="dxa"/>
          </w:tblCellMar>
        </w:tblPrEx>
        <w:trPr>
          <w:trHeight w:val="425" w:hRule="atLeast"/>
          <w:jc w:val="center"/>
        </w:trPr>
        <w:tc>
          <w:tcPr>
            <w:tcW w:w="1762" w:type="dxa"/>
            <w:noWrap w:val="0"/>
            <w:vAlign w:val="center"/>
          </w:tcPr>
          <w:p w14:paraId="5C2AF88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组织机构代码：</w:t>
            </w:r>
          </w:p>
        </w:tc>
        <w:tc>
          <w:tcPr>
            <w:tcW w:w="3434" w:type="dxa"/>
            <w:noWrap w:val="0"/>
            <w:vAlign w:val="center"/>
          </w:tcPr>
          <w:p w14:paraId="7A7D58BD">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16" w:name="EBf27bdadf736246b1b3f3eecb89fc1837"/>
            <w:bookmarkEnd w:id="316"/>
          </w:p>
        </w:tc>
        <w:tc>
          <w:tcPr>
            <w:tcW w:w="1827" w:type="dxa"/>
            <w:noWrap w:val="0"/>
            <w:vAlign w:val="center"/>
          </w:tcPr>
          <w:p w14:paraId="31079DDA">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组织机构代码：</w:t>
            </w:r>
          </w:p>
        </w:tc>
        <w:tc>
          <w:tcPr>
            <w:tcW w:w="2442" w:type="dxa"/>
            <w:noWrap w:val="0"/>
            <w:vAlign w:val="center"/>
          </w:tcPr>
          <w:p w14:paraId="0835DBA9">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17" w:name="EBb70931743c23447fbed316c3b02cc534"/>
            <w:bookmarkEnd w:id="317"/>
          </w:p>
        </w:tc>
      </w:tr>
      <w:tr w14:paraId="7B898C09">
        <w:tblPrEx>
          <w:tblCellMar>
            <w:top w:w="0" w:type="dxa"/>
            <w:left w:w="108" w:type="dxa"/>
            <w:bottom w:w="0" w:type="dxa"/>
            <w:right w:w="108" w:type="dxa"/>
          </w:tblCellMar>
        </w:tblPrEx>
        <w:trPr>
          <w:trHeight w:val="425" w:hRule="atLeast"/>
          <w:jc w:val="center"/>
        </w:trPr>
        <w:tc>
          <w:tcPr>
            <w:tcW w:w="1762" w:type="dxa"/>
            <w:noWrap w:val="0"/>
            <w:vAlign w:val="center"/>
          </w:tcPr>
          <w:p w14:paraId="34969D95">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地  址：</w:t>
            </w:r>
          </w:p>
        </w:tc>
        <w:tc>
          <w:tcPr>
            <w:tcW w:w="3434" w:type="dxa"/>
            <w:noWrap w:val="0"/>
            <w:vAlign w:val="center"/>
          </w:tcPr>
          <w:p w14:paraId="6AA2E870">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18" w:name="EBee6cb94c60094a6abdf92857f3f2df28"/>
            <w:bookmarkEnd w:id="318"/>
          </w:p>
        </w:tc>
        <w:tc>
          <w:tcPr>
            <w:tcW w:w="1827" w:type="dxa"/>
            <w:noWrap w:val="0"/>
            <w:vAlign w:val="center"/>
          </w:tcPr>
          <w:p w14:paraId="54D71B09">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地  址：</w:t>
            </w:r>
          </w:p>
        </w:tc>
        <w:tc>
          <w:tcPr>
            <w:tcW w:w="2442" w:type="dxa"/>
            <w:noWrap w:val="0"/>
            <w:vAlign w:val="center"/>
          </w:tcPr>
          <w:p w14:paraId="69BED0D6">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19" w:name="EB97c2473190b842dcb7d04fbe799559a3"/>
            <w:bookmarkEnd w:id="319"/>
          </w:p>
        </w:tc>
      </w:tr>
      <w:tr w14:paraId="6BFDD5DE">
        <w:tblPrEx>
          <w:tblCellMar>
            <w:top w:w="0" w:type="dxa"/>
            <w:left w:w="108" w:type="dxa"/>
            <w:bottom w:w="0" w:type="dxa"/>
            <w:right w:w="108" w:type="dxa"/>
          </w:tblCellMar>
        </w:tblPrEx>
        <w:trPr>
          <w:trHeight w:val="425" w:hRule="atLeast"/>
          <w:jc w:val="center"/>
        </w:trPr>
        <w:tc>
          <w:tcPr>
            <w:tcW w:w="1762" w:type="dxa"/>
            <w:noWrap w:val="0"/>
            <w:vAlign w:val="center"/>
          </w:tcPr>
          <w:p w14:paraId="072AEB9C">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邮政编码：</w:t>
            </w:r>
          </w:p>
        </w:tc>
        <w:tc>
          <w:tcPr>
            <w:tcW w:w="3434" w:type="dxa"/>
            <w:noWrap w:val="0"/>
            <w:vAlign w:val="center"/>
          </w:tcPr>
          <w:p w14:paraId="77D721F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0" w:name="EB5dda9293b78345699fbbeaded64d82c2"/>
            <w:bookmarkEnd w:id="320"/>
          </w:p>
        </w:tc>
        <w:tc>
          <w:tcPr>
            <w:tcW w:w="1827" w:type="dxa"/>
            <w:noWrap w:val="0"/>
            <w:vAlign w:val="center"/>
          </w:tcPr>
          <w:p w14:paraId="02CC068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邮政编码：</w:t>
            </w:r>
          </w:p>
        </w:tc>
        <w:tc>
          <w:tcPr>
            <w:tcW w:w="2442" w:type="dxa"/>
            <w:noWrap w:val="0"/>
            <w:vAlign w:val="center"/>
          </w:tcPr>
          <w:p w14:paraId="7C7804E6">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1" w:name="EB1dbb0bf4342e4bf3ac2d1ead4fa12268"/>
            <w:bookmarkEnd w:id="321"/>
          </w:p>
        </w:tc>
      </w:tr>
      <w:tr w14:paraId="1EA2A6F4">
        <w:tblPrEx>
          <w:tblCellMar>
            <w:top w:w="0" w:type="dxa"/>
            <w:left w:w="108" w:type="dxa"/>
            <w:bottom w:w="0" w:type="dxa"/>
            <w:right w:w="108" w:type="dxa"/>
          </w:tblCellMar>
        </w:tblPrEx>
        <w:trPr>
          <w:trHeight w:val="425" w:hRule="atLeast"/>
          <w:jc w:val="center"/>
        </w:trPr>
        <w:tc>
          <w:tcPr>
            <w:tcW w:w="1762" w:type="dxa"/>
            <w:noWrap w:val="0"/>
            <w:vAlign w:val="center"/>
          </w:tcPr>
          <w:p w14:paraId="073FC840">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法定代表人：</w:t>
            </w:r>
          </w:p>
        </w:tc>
        <w:tc>
          <w:tcPr>
            <w:tcW w:w="3434" w:type="dxa"/>
            <w:noWrap w:val="0"/>
            <w:vAlign w:val="center"/>
          </w:tcPr>
          <w:p w14:paraId="51734095">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2" w:name="EB6aec6e810e5c437a9eef65ab20e1041f"/>
            <w:bookmarkEnd w:id="322"/>
          </w:p>
        </w:tc>
        <w:tc>
          <w:tcPr>
            <w:tcW w:w="1827" w:type="dxa"/>
            <w:noWrap w:val="0"/>
            <w:vAlign w:val="center"/>
          </w:tcPr>
          <w:p w14:paraId="52CCCC9B">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法定代表人：</w:t>
            </w:r>
          </w:p>
        </w:tc>
        <w:tc>
          <w:tcPr>
            <w:tcW w:w="2442" w:type="dxa"/>
            <w:noWrap w:val="0"/>
            <w:vAlign w:val="center"/>
          </w:tcPr>
          <w:p w14:paraId="6A870363">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3" w:name="EB966dff860bea450294a24af8b4b7723d"/>
            <w:bookmarkEnd w:id="323"/>
          </w:p>
        </w:tc>
      </w:tr>
      <w:tr w14:paraId="7D929A42">
        <w:tblPrEx>
          <w:tblCellMar>
            <w:top w:w="0" w:type="dxa"/>
            <w:left w:w="108" w:type="dxa"/>
            <w:bottom w:w="0" w:type="dxa"/>
            <w:right w:w="108" w:type="dxa"/>
          </w:tblCellMar>
        </w:tblPrEx>
        <w:trPr>
          <w:trHeight w:val="425" w:hRule="atLeast"/>
          <w:jc w:val="center"/>
        </w:trPr>
        <w:tc>
          <w:tcPr>
            <w:tcW w:w="1762" w:type="dxa"/>
            <w:noWrap w:val="0"/>
            <w:vAlign w:val="center"/>
          </w:tcPr>
          <w:p w14:paraId="1BEF0083">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委托代理人：</w:t>
            </w:r>
          </w:p>
        </w:tc>
        <w:tc>
          <w:tcPr>
            <w:tcW w:w="3434" w:type="dxa"/>
            <w:noWrap w:val="0"/>
            <w:vAlign w:val="center"/>
          </w:tcPr>
          <w:p w14:paraId="701135D7">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4" w:name="EB9657c8fcf9f04798acf263c031273408"/>
            <w:bookmarkEnd w:id="324"/>
          </w:p>
        </w:tc>
        <w:tc>
          <w:tcPr>
            <w:tcW w:w="1827" w:type="dxa"/>
            <w:noWrap w:val="0"/>
            <w:vAlign w:val="center"/>
          </w:tcPr>
          <w:p w14:paraId="5135DD6A">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委托代理人：</w:t>
            </w:r>
          </w:p>
        </w:tc>
        <w:tc>
          <w:tcPr>
            <w:tcW w:w="2442" w:type="dxa"/>
            <w:noWrap w:val="0"/>
            <w:vAlign w:val="center"/>
          </w:tcPr>
          <w:p w14:paraId="66F0EC14">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5" w:name="EB7f8d7daff2e24d22a4f78f5523f2a69c"/>
            <w:bookmarkEnd w:id="325"/>
          </w:p>
        </w:tc>
      </w:tr>
      <w:tr w14:paraId="6932ACB2">
        <w:tblPrEx>
          <w:tblCellMar>
            <w:top w:w="0" w:type="dxa"/>
            <w:left w:w="108" w:type="dxa"/>
            <w:bottom w:w="0" w:type="dxa"/>
            <w:right w:w="108" w:type="dxa"/>
          </w:tblCellMar>
        </w:tblPrEx>
        <w:trPr>
          <w:trHeight w:val="425" w:hRule="atLeast"/>
          <w:jc w:val="center"/>
        </w:trPr>
        <w:tc>
          <w:tcPr>
            <w:tcW w:w="1762" w:type="dxa"/>
            <w:noWrap w:val="0"/>
            <w:vAlign w:val="center"/>
          </w:tcPr>
          <w:p w14:paraId="79CC7D60">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  话：</w:t>
            </w:r>
          </w:p>
        </w:tc>
        <w:tc>
          <w:tcPr>
            <w:tcW w:w="3434" w:type="dxa"/>
            <w:noWrap w:val="0"/>
            <w:vAlign w:val="center"/>
          </w:tcPr>
          <w:p w14:paraId="4F546EF9">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6" w:name="EB988ffcef069a4f7daac0b47078cf1739"/>
            <w:bookmarkEnd w:id="326"/>
          </w:p>
        </w:tc>
        <w:tc>
          <w:tcPr>
            <w:tcW w:w="1827" w:type="dxa"/>
            <w:noWrap w:val="0"/>
            <w:vAlign w:val="center"/>
          </w:tcPr>
          <w:p w14:paraId="34AB64FA">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  话：</w:t>
            </w:r>
          </w:p>
        </w:tc>
        <w:tc>
          <w:tcPr>
            <w:tcW w:w="2442" w:type="dxa"/>
            <w:noWrap w:val="0"/>
            <w:vAlign w:val="center"/>
          </w:tcPr>
          <w:p w14:paraId="1CD243D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7" w:name="EB946875a6cddd4fda82f655c82ab43e68"/>
            <w:bookmarkEnd w:id="327"/>
          </w:p>
        </w:tc>
      </w:tr>
      <w:tr w14:paraId="00AEA5EE">
        <w:tblPrEx>
          <w:tblCellMar>
            <w:top w:w="0" w:type="dxa"/>
            <w:left w:w="108" w:type="dxa"/>
            <w:bottom w:w="0" w:type="dxa"/>
            <w:right w:w="108" w:type="dxa"/>
          </w:tblCellMar>
        </w:tblPrEx>
        <w:trPr>
          <w:trHeight w:val="425" w:hRule="atLeast"/>
          <w:jc w:val="center"/>
        </w:trPr>
        <w:tc>
          <w:tcPr>
            <w:tcW w:w="1762" w:type="dxa"/>
            <w:noWrap w:val="0"/>
            <w:vAlign w:val="center"/>
          </w:tcPr>
          <w:p w14:paraId="491BBA4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传  真：</w:t>
            </w:r>
          </w:p>
        </w:tc>
        <w:tc>
          <w:tcPr>
            <w:tcW w:w="3434" w:type="dxa"/>
            <w:noWrap w:val="0"/>
            <w:vAlign w:val="center"/>
          </w:tcPr>
          <w:p w14:paraId="651F673D">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8" w:name="EB5fa623c205094ba2be9067b11a2769d4"/>
            <w:bookmarkEnd w:id="328"/>
          </w:p>
        </w:tc>
        <w:tc>
          <w:tcPr>
            <w:tcW w:w="1827" w:type="dxa"/>
            <w:noWrap w:val="0"/>
            <w:vAlign w:val="center"/>
          </w:tcPr>
          <w:p w14:paraId="6200F4D2">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传  真：</w:t>
            </w:r>
          </w:p>
        </w:tc>
        <w:tc>
          <w:tcPr>
            <w:tcW w:w="2442" w:type="dxa"/>
            <w:noWrap w:val="0"/>
            <w:vAlign w:val="center"/>
          </w:tcPr>
          <w:p w14:paraId="5FA4E204">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29" w:name="EBd4df92fe6ed94db0b0978eddec38af62"/>
            <w:bookmarkEnd w:id="329"/>
          </w:p>
        </w:tc>
      </w:tr>
      <w:tr w14:paraId="00927780">
        <w:tblPrEx>
          <w:tblCellMar>
            <w:top w:w="0" w:type="dxa"/>
            <w:left w:w="108" w:type="dxa"/>
            <w:bottom w:w="0" w:type="dxa"/>
            <w:right w:w="108" w:type="dxa"/>
          </w:tblCellMar>
        </w:tblPrEx>
        <w:trPr>
          <w:trHeight w:val="425" w:hRule="atLeast"/>
          <w:jc w:val="center"/>
        </w:trPr>
        <w:tc>
          <w:tcPr>
            <w:tcW w:w="1762" w:type="dxa"/>
            <w:noWrap w:val="0"/>
            <w:vAlign w:val="center"/>
          </w:tcPr>
          <w:p w14:paraId="181C3E8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电子信箱：</w:t>
            </w:r>
          </w:p>
        </w:tc>
        <w:tc>
          <w:tcPr>
            <w:tcW w:w="3434" w:type="dxa"/>
            <w:noWrap w:val="0"/>
            <w:vAlign w:val="center"/>
          </w:tcPr>
          <w:p w14:paraId="45BD7A41">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30" w:name="EB0eb1cf704ddc46e8a650370b8028c4ca"/>
            <w:bookmarkEnd w:id="330"/>
          </w:p>
        </w:tc>
        <w:tc>
          <w:tcPr>
            <w:tcW w:w="1827" w:type="dxa"/>
            <w:noWrap w:val="0"/>
            <w:vAlign w:val="center"/>
          </w:tcPr>
          <w:p w14:paraId="63307692">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电子信箱：</w:t>
            </w:r>
          </w:p>
        </w:tc>
        <w:tc>
          <w:tcPr>
            <w:tcW w:w="2442" w:type="dxa"/>
            <w:noWrap w:val="0"/>
            <w:vAlign w:val="center"/>
          </w:tcPr>
          <w:p w14:paraId="1591322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31" w:name="EBcc901d689b6c400ba0449c926a9ecf3e"/>
            <w:bookmarkEnd w:id="331"/>
          </w:p>
        </w:tc>
      </w:tr>
      <w:tr w14:paraId="5A13CA58">
        <w:tblPrEx>
          <w:tblCellMar>
            <w:top w:w="0" w:type="dxa"/>
            <w:left w:w="108" w:type="dxa"/>
            <w:bottom w:w="0" w:type="dxa"/>
            <w:right w:w="108" w:type="dxa"/>
          </w:tblCellMar>
        </w:tblPrEx>
        <w:trPr>
          <w:trHeight w:val="425" w:hRule="atLeast"/>
          <w:jc w:val="center"/>
        </w:trPr>
        <w:tc>
          <w:tcPr>
            <w:tcW w:w="1762" w:type="dxa"/>
            <w:noWrap w:val="0"/>
            <w:vAlign w:val="center"/>
          </w:tcPr>
          <w:p w14:paraId="528B8276">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开户银行：</w:t>
            </w:r>
          </w:p>
        </w:tc>
        <w:tc>
          <w:tcPr>
            <w:tcW w:w="3434" w:type="dxa"/>
            <w:noWrap w:val="0"/>
            <w:vAlign w:val="center"/>
          </w:tcPr>
          <w:p w14:paraId="5753892B">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32" w:name="EB809d5f0f744b41caa30d1eff0d5c3054"/>
            <w:bookmarkEnd w:id="332"/>
          </w:p>
        </w:tc>
        <w:tc>
          <w:tcPr>
            <w:tcW w:w="1827" w:type="dxa"/>
            <w:noWrap w:val="0"/>
            <w:vAlign w:val="center"/>
          </w:tcPr>
          <w:p w14:paraId="59A686D6">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开户银行：</w:t>
            </w:r>
          </w:p>
        </w:tc>
        <w:tc>
          <w:tcPr>
            <w:tcW w:w="2442" w:type="dxa"/>
            <w:noWrap w:val="0"/>
            <w:vAlign w:val="center"/>
          </w:tcPr>
          <w:p w14:paraId="0278050E">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33" w:name="EB50b946c9b87f411fa4188599a26f068b"/>
            <w:bookmarkEnd w:id="333"/>
          </w:p>
        </w:tc>
      </w:tr>
      <w:tr w14:paraId="3C112466">
        <w:tblPrEx>
          <w:tblCellMar>
            <w:top w:w="0" w:type="dxa"/>
            <w:left w:w="108" w:type="dxa"/>
            <w:bottom w:w="0" w:type="dxa"/>
            <w:right w:w="108" w:type="dxa"/>
          </w:tblCellMar>
        </w:tblPrEx>
        <w:trPr>
          <w:trHeight w:val="425" w:hRule="atLeast"/>
          <w:jc w:val="center"/>
        </w:trPr>
        <w:tc>
          <w:tcPr>
            <w:tcW w:w="1762" w:type="dxa"/>
            <w:noWrap w:val="0"/>
            <w:vAlign w:val="center"/>
          </w:tcPr>
          <w:p w14:paraId="1A9C9B69">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账  号：</w:t>
            </w:r>
          </w:p>
        </w:tc>
        <w:tc>
          <w:tcPr>
            <w:tcW w:w="3434" w:type="dxa"/>
            <w:noWrap w:val="0"/>
            <w:vAlign w:val="center"/>
          </w:tcPr>
          <w:p w14:paraId="0C3E4F03">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34" w:name="EBb21b65527568482b8a4602f2d2378d67"/>
            <w:bookmarkEnd w:id="334"/>
          </w:p>
        </w:tc>
        <w:tc>
          <w:tcPr>
            <w:tcW w:w="1827" w:type="dxa"/>
            <w:noWrap w:val="0"/>
            <w:vAlign w:val="center"/>
          </w:tcPr>
          <w:p w14:paraId="272B45CD">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账  号：</w:t>
            </w:r>
          </w:p>
        </w:tc>
        <w:tc>
          <w:tcPr>
            <w:tcW w:w="2442" w:type="dxa"/>
            <w:noWrap w:val="0"/>
            <w:vAlign w:val="center"/>
          </w:tcPr>
          <w:p w14:paraId="6EEA4CF6">
            <w:pPr>
              <w:keepNext w:val="0"/>
              <w:keepLines w:val="0"/>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35" w:name="EBe5efaad67daf439397257b2bf3f6a675"/>
            <w:bookmarkEnd w:id="335"/>
          </w:p>
        </w:tc>
      </w:tr>
      <w:tr w14:paraId="264E07E6">
        <w:tblPrEx>
          <w:tblCellMar>
            <w:top w:w="0" w:type="dxa"/>
            <w:left w:w="108" w:type="dxa"/>
            <w:bottom w:w="0" w:type="dxa"/>
            <w:right w:w="108" w:type="dxa"/>
          </w:tblCellMar>
        </w:tblPrEx>
        <w:trPr>
          <w:trHeight w:val="90" w:hRule="atLeast"/>
          <w:jc w:val="center"/>
        </w:trPr>
        <w:tc>
          <w:tcPr>
            <w:tcW w:w="1762" w:type="dxa"/>
            <w:noWrap w:val="0"/>
            <w:vAlign w:val="center"/>
          </w:tcPr>
          <w:p w14:paraId="49119265">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bookmarkStart w:id="336" w:name="EB54a43b5ff39b4bddba88058dcde9dba2"/>
          </w:p>
        </w:tc>
        <w:tc>
          <w:tcPr>
            <w:tcW w:w="3434" w:type="dxa"/>
            <w:noWrap w:val="0"/>
            <w:vAlign w:val="center"/>
          </w:tcPr>
          <w:p w14:paraId="108089B0">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c>
          <w:tcPr>
            <w:tcW w:w="1827" w:type="dxa"/>
            <w:noWrap w:val="0"/>
            <w:vAlign w:val="center"/>
          </w:tcPr>
          <w:p w14:paraId="4B270945">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c>
          <w:tcPr>
            <w:tcW w:w="2442" w:type="dxa"/>
            <w:noWrap w:val="0"/>
            <w:vAlign w:val="center"/>
          </w:tcPr>
          <w:p w14:paraId="04EA8202">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r>
      <w:tr w14:paraId="053D87FD">
        <w:tblPrEx>
          <w:tblCellMar>
            <w:top w:w="0" w:type="dxa"/>
            <w:left w:w="108" w:type="dxa"/>
            <w:bottom w:w="0" w:type="dxa"/>
            <w:right w:w="108" w:type="dxa"/>
          </w:tblCellMar>
        </w:tblPrEx>
        <w:trPr>
          <w:jc w:val="center"/>
        </w:trPr>
        <w:tc>
          <w:tcPr>
            <w:tcW w:w="1762" w:type="dxa"/>
            <w:noWrap w:val="0"/>
            <w:vAlign w:val="center"/>
          </w:tcPr>
          <w:p w14:paraId="52279C52">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pacing w:val="0"/>
                <w:sz w:val="21"/>
                <w:szCs w:val="21"/>
                <w:highlight w:val="none"/>
                <w:lang w:eastAsia="zh-CN"/>
              </w:rPr>
              <w:t>见</w:t>
            </w:r>
            <w:r>
              <w:rPr>
                <w:rFonts w:hint="eastAsia" w:ascii="宋体" w:hAnsi="宋体" w:cs="宋体"/>
                <w:color w:val="auto"/>
                <w:spacing w:val="0"/>
                <w:sz w:val="21"/>
                <w:szCs w:val="21"/>
                <w:highlight w:val="none"/>
                <w:lang w:val="en-US" w:eastAsia="zh-CN"/>
              </w:rPr>
              <w:t xml:space="preserve"> </w:t>
            </w:r>
            <w:r>
              <w:rPr>
                <w:rFonts w:hint="eastAsia" w:ascii="宋体" w:hAnsi="宋体" w:cs="宋体"/>
                <w:color w:val="auto"/>
                <w:spacing w:val="0"/>
                <w:sz w:val="21"/>
                <w:szCs w:val="21"/>
                <w:highlight w:val="none"/>
                <w:lang w:eastAsia="zh-CN"/>
              </w:rPr>
              <w:t>证</w:t>
            </w:r>
            <w:r>
              <w:rPr>
                <w:rFonts w:hint="eastAsia" w:ascii="宋体" w:hAnsi="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方：</w:t>
            </w:r>
          </w:p>
        </w:tc>
        <w:tc>
          <w:tcPr>
            <w:tcW w:w="5261" w:type="dxa"/>
            <w:gridSpan w:val="2"/>
            <w:noWrap w:val="0"/>
            <w:vAlign w:val="center"/>
          </w:tcPr>
          <w:p w14:paraId="443D22B9">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江苏万信项目管理有限公司</w:t>
            </w:r>
            <w:r>
              <w:rPr>
                <w:rFonts w:hint="eastAsia" w:ascii="宋体" w:hAnsi="宋体" w:eastAsia="宋体" w:cs="宋体"/>
                <w:color w:val="auto"/>
                <w:spacing w:val="0"/>
                <w:sz w:val="21"/>
                <w:szCs w:val="21"/>
                <w:highlight w:val="none"/>
              </w:rPr>
              <w:t>（单位盖章）</w:t>
            </w:r>
          </w:p>
        </w:tc>
        <w:tc>
          <w:tcPr>
            <w:tcW w:w="2442" w:type="dxa"/>
            <w:noWrap w:val="0"/>
            <w:vAlign w:val="center"/>
          </w:tcPr>
          <w:p w14:paraId="5DA766F3">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r>
      <w:tr w14:paraId="2602D34A">
        <w:tblPrEx>
          <w:tblCellMar>
            <w:top w:w="0" w:type="dxa"/>
            <w:left w:w="108" w:type="dxa"/>
            <w:bottom w:w="0" w:type="dxa"/>
            <w:right w:w="108" w:type="dxa"/>
          </w:tblCellMar>
        </w:tblPrEx>
        <w:trPr>
          <w:jc w:val="center"/>
        </w:trPr>
        <w:tc>
          <w:tcPr>
            <w:tcW w:w="1762" w:type="dxa"/>
            <w:noWrap w:val="0"/>
            <w:vAlign w:val="center"/>
          </w:tcPr>
          <w:p w14:paraId="4D8A901B">
            <w:pPr>
              <w:pageBreakBefore w:val="0"/>
              <w:widowControl w:val="0"/>
              <w:spacing w:line="400" w:lineRule="exact"/>
              <w:jc w:val="both"/>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地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址：</w:t>
            </w:r>
          </w:p>
        </w:tc>
        <w:tc>
          <w:tcPr>
            <w:tcW w:w="3434" w:type="dxa"/>
            <w:noWrap w:val="0"/>
            <w:vAlign w:val="center"/>
          </w:tcPr>
          <w:p w14:paraId="127BF1D7">
            <w:pPr>
              <w:pageBreakBefore w:val="0"/>
              <w:widowControl w:val="0"/>
              <w:spacing w:line="400" w:lineRule="exact"/>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丹阳市开发区兰陵路</w:t>
            </w:r>
            <w:r>
              <w:rPr>
                <w:rFonts w:hint="eastAsia" w:ascii="宋体" w:hAnsi="宋体" w:cs="宋体"/>
                <w:color w:val="auto"/>
                <w:sz w:val="21"/>
                <w:szCs w:val="21"/>
                <w:highlight w:val="none"/>
                <w:u w:val="single"/>
                <w:lang w:val="en-US" w:eastAsia="zh-CN"/>
              </w:rPr>
              <w:t>77号</w:t>
            </w:r>
          </w:p>
        </w:tc>
        <w:tc>
          <w:tcPr>
            <w:tcW w:w="1827" w:type="dxa"/>
            <w:noWrap w:val="0"/>
            <w:vAlign w:val="center"/>
          </w:tcPr>
          <w:p w14:paraId="544FD7AC">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c>
          <w:tcPr>
            <w:tcW w:w="2442" w:type="dxa"/>
            <w:noWrap w:val="0"/>
            <w:vAlign w:val="center"/>
          </w:tcPr>
          <w:p w14:paraId="3D7D5157">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r>
      <w:tr w14:paraId="12B34485">
        <w:tblPrEx>
          <w:tblCellMar>
            <w:top w:w="0" w:type="dxa"/>
            <w:left w:w="108" w:type="dxa"/>
            <w:bottom w:w="0" w:type="dxa"/>
            <w:right w:w="108" w:type="dxa"/>
          </w:tblCellMar>
        </w:tblPrEx>
        <w:trPr>
          <w:jc w:val="center"/>
        </w:trPr>
        <w:tc>
          <w:tcPr>
            <w:tcW w:w="1762" w:type="dxa"/>
            <w:noWrap w:val="0"/>
            <w:vAlign w:val="center"/>
          </w:tcPr>
          <w:p w14:paraId="5694731B">
            <w:pPr>
              <w:pageBreakBefore w:val="0"/>
              <w:widowControl w:val="0"/>
              <w:spacing w:line="400" w:lineRule="exact"/>
              <w:jc w:val="both"/>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联系电话：</w:t>
            </w:r>
          </w:p>
        </w:tc>
        <w:tc>
          <w:tcPr>
            <w:tcW w:w="3434" w:type="dxa"/>
            <w:noWrap w:val="0"/>
            <w:vAlign w:val="center"/>
          </w:tcPr>
          <w:p w14:paraId="5B5EC395">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u w:val="single"/>
                <w:lang w:val="en-US" w:eastAsia="zh-CN"/>
              </w:rPr>
              <w:t>0511-86531589</w:t>
            </w:r>
          </w:p>
        </w:tc>
        <w:tc>
          <w:tcPr>
            <w:tcW w:w="1827" w:type="dxa"/>
            <w:noWrap w:val="0"/>
            <w:vAlign w:val="center"/>
          </w:tcPr>
          <w:p w14:paraId="1F776F05">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c>
          <w:tcPr>
            <w:tcW w:w="2442" w:type="dxa"/>
            <w:noWrap w:val="0"/>
            <w:vAlign w:val="center"/>
          </w:tcPr>
          <w:p w14:paraId="3FE379B7">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r>
      <w:tr w14:paraId="77EF4C48">
        <w:tblPrEx>
          <w:tblCellMar>
            <w:top w:w="0" w:type="dxa"/>
            <w:left w:w="108" w:type="dxa"/>
            <w:bottom w:w="0" w:type="dxa"/>
            <w:right w:w="108" w:type="dxa"/>
          </w:tblCellMar>
        </w:tblPrEx>
        <w:trPr>
          <w:jc w:val="center"/>
        </w:trPr>
        <w:tc>
          <w:tcPr>
            <w:tcW w:w="1762" w:type="dxa"/>
            <w:noWrap w:val="0"/>
            <w:vAlign w:val="center"/>
          </w:tcPr>
          <w:p w14:paraId="0D513D33">
            <w:pPr>
              <w:pageBreakBefore w:val="0"/>
              <w:widowControl w:val="0"/>
              <w:spacing w:line="400" w:lineRule="exact"/>
              <w:jc w:val="both"/>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代表签字：</w:t>
            </w:r>
          </w:p>
        </w:tc>
        <w:tc>
          <w:tcPr>
            <w:tcW w:w="3434" w:type="dxa"/>
            <w:noWrap w:val="0"/>
            <w:vAlign w:val="center"/>
          </w:tcPr>
          <w:p w14:paraId="7CA2C277">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 xml:space="preserve">               </w:t>
            </w:r>
          </w:p>
          <w:bookmarkEnd w:id="336"/>
        </w:tc>
        <w:tc>
          <w:tcPr>
            <w:tcW w:w="1827" w:type="dxa"/>
            <w:noWrap w:val="0"/>
            <w:vAlign w:val="center"/>
          </w:tcPr>
          <w:p w14:paraId="215DCF82">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c>
          <w:tcPr>
            <w:tcW w:w="2442" w:type="dxa"/>
            <w:noWrap w:val="0"/>
            <w:vAlign w:val="center"/>
          </w:tcPr>
          <w:p w14:paraId="04066892">
            <w:pPr>
              <w:pageBreakBefore w:val="0"/>
              <w:widowControl w:val="0"/>
              <w:spacing w:line="400" w:lineRule="exact"/>
              <w:jc w:val="both"/>
              <w:rPr>
                <w:rFonts w:hint="eastAsia" w:ascii="宋体" w:hAnsi="宋体" w:eastAsia="宋体" w:cs="宋体"/>
                <w:color w:val="auto"/>
                <w:sz w:val="21"/>
                <w:szCs w:val="21"/>
                <w:highlight w:val="none"/>
                <w:lang w:val="en-US" w:eastAsia="zh-CN" w:bidi="ar-SA"/>
              </w:rPr>
            </w:pPr>
          </w:p>
        </w:tc>
      </w:tr>
    </w:tbl>
    <w:p w14:paraId="642613CE">
      <w:pPr>
        <w:pageBreakBefore w:val="0"/>
        <w:widowControl w:val="0"/>
        <w:spacing w:line="400" w:lineRule="exact"/>
        <w:rPr>
          <w:rFonts w:hint="eastAsia" w:ascii="宋体" w:hAnsi="宋体" w:eastAsia="宋体" w:cs="宋体"/>
          <w:b/>
          <w:color w:val="auto"/>
          <w:szCs w:val="21"/>
          <w:highlight w:val="none"/>
        </w:rPr>
      </w:pPr>
      <w:bookmarkStart w:id="337" w:name="EBa3cdf48e21c34d598f24c3ecb4c9ad92"/>
      <w:bookmarkEnd w:id="337"/>
      <w:r>
        <w:rPr>
          <w:rFonts w:hint="eastAsia" w:ascii="宋体" w:hAnsi="宋体" w:eastAsia="宋体" w:cs="宋体"/>
          <w:b/>
          <w:color w:val="auto"/>
          <w:szCs w:val="21"/>
          <w:highlight w:val="none"/>
        </w:rPr>
        <w:br w:type="page" w:clear="all"/>
      </w:r>
    </w:p>
    <w:p w14:paraId="402D4594">
      <w:pPr>
        <w:pageBreakBefore w:val="0"/>
        <w:widowControl w:val="0"/>
        <w:spacing w:line="4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第二部分 通用合同条款</w:t>
      </w:r>
    </w:p>
    <w:p w14:paraId="366C04DA">
      <w:pPr>
        <w:pageBreakBefore w:val="0"/>
        <w:widowControl w:val="0"/>
        <w:spacing w:line="400" w:lineRule="exact"/>
        <w:ind w:firstLine="1676"/>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采用《建设工程施工合同（示范文本）》（GF—2017—0201）</w:t>
      </w:r>
      <w:r>
        <w:rPr>
          <w:rFonts w:hint="eastAsia" w:ascii="宋体" w:hAnsi="宋体" w:eastAsia="宋体" w:cs="宋体"/>
          <w:color w:val="auto"/>
          <w:szCs w:val="21"/>
          <w:highlight w:val="none"/>
        </w:rPr>
        <w:t xml:space="preserve"> </w:t>
      </w:r>
    </w:p>
    <w:p w14:paraId="200D4A6C">
      <w:pPr>
        <w:pageBreakBefore w:val="0"/>
        <w:widowControl w:val="0"/>
        <w:spacing w:line="400" w:lineRule="exact"/>
        <w:jc w:val="center"/>
        <w:rPr>
          <w:rFonts w:hint="eastAsia" w:ascii="宋体" w:hAnsi="宋体" w:eastAsia="宋体" w:cs="宋体"/>
          <w:b/>
          <w:color w:val="auto"/>
          <w:sz w:val="28"/>
          <w:szCs w:val="28"/>
          <w:highlight w:val="none"/>
        </w:rPr>
      </w:pPr>
      <w:bookmarkStart w:id="338" w:name="EBcdb0cecb76eb48ad9ee61fdccb93fea1"/>
      <w:r>
        <w:rPr>
          <w:rFonts w:hint="eastAsia" w:ascii="宋体" w:hAnsi="宋体" w:eastAsia="宋体" w:cs="宋体"/>
          <w:color w:val="auto"/>
          <w:sz w:val="20"/>
          <w:highlight w:val="none"/>
        </w:rPr>
        <w:t xml:space="preserve"> </w:t>
      </w:r>
      <w:bookmarkEnd w:id="338"/>
    </w:p>
    <w:p w14:paraId="2658125B">
      <w:pPr>
        <w:pageBreakBefore w:val="0"/>
        <w:widowControl w:val="0"/>
        <w:spacing w:line="4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第三部分 专用合同条款</w:t>
      </w:r>
    </w:p>
    <w:p w14:paraId="4A5FE036">
      <w:pPr>
        <w:pageBreakBefore w:val="0"/>
        <w:widowControl w:val="0"/>
        <w:spacing w:line="400" w:lineRule="exact"/>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本专用条款约定的内容如与国家相关法律、法规及政策相抵触，则抵触内容无效，待项目定标后，由招标人与中标人按照国家相关法律、法规及政策另行约定。</w:t>
      </w:r>
    </w:p>
    <w:p w14:paraId="31CF27FE">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 一般约定</w:t>
      </w:r>
    </w:p>
    <w:p w14:paraId="532F440A">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词语定义</w:t>
      </w:r>
    </w:p>
    <w:p w14:paraId="78FC6C36">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1.1.1合同</w:t>
      </w:r>
    </w:p>
    <w:p w14:paraId="75E0C7A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1.1.1.10其他合同文件包括：</w:t>
      </w:r>
      <w:bookmarkStart w:id="339" w:name="EB7824a48e646e4dceb1ec64d924b42458"/>
      <w:r>
        <w:rPr>
          <w:rFonts w:hint="eastAsia" w:ascii="宋体" w:hAnsi="宋体" w:eastAsia="宋体" w:cs="宋体"/>
          <w:color w:val="auto"/>
          <w:szCs w:val="21"/>
          <w:highlight w:val="none"/>
          <w:u w:val="single"/>
        </w:rPr>
        <w:t>投标文件、已获批准的施工组织设计、工程洽商记录、工程签证单、工程测量资料、工作联系函、工程变更文件、补充协议、会议纪要、与工程计价、计量有关的其它书面文件或书面明确双方权利义务的纪要、协议、承诺等</w:t>
      </w:r>
      <w:bookmarkEnd w:id="339"/>
      <w:r>
        <w:rPr>
          <w:rFonts w:hint="eastAsia" w:ascii="宋体" w:hAnsi="宋体" w:eastAsia="宋体" w:cs="宋体"/>
          <w:color w:val="auto"/>
          <w:szCs w:val="21"/>
          <w:highlight w:val="none"/>
        </w:rPr>
        <w:t>。</w:t>
      </w:r>
    </w:p>
    <w:p w14:paraId="1CB44F2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合同当事人及其他相关方</w:t>
      </w:r>
    </w:p>
    <w:p w14:paraId="7368AD2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1.1.2.4监理人：</w:t>
      </w:r>
    </w:p>
    <w:p w14:paraId="0B6C9A16">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bookmarkStart w:id="340" w:name="EB2e53f7aaf8c84148b9c433ab24e76286"/>
      <w:bookmarkEnd w:id="340"/>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7E486B6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资质类别和等级：</w:t>
      </w:r>
      <w:bookmarkStart w:id="341" w:name="EB6e2500e2c9314dfe87e2544f3bbc3ae8"/>
      <w:bookmarkEnd w:id="341"/>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6318ACF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bookmarkStart w:id="342" w:name="EBf950159031bc4009aa85eb992c30604c"/>
      <w:bookmarkEnd w:id="342"/>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74E8B7C7">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bookmarkStart w:id="343" w:name="EB8fe2f3875cdf455ba469fddaf7ac0a3f"/>
      <w:bookmarkEnd w:id="343"/>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3FC7E45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bookmarkStart w:id="344" w:name="EBef7db2a549e749aebd1f6977bf07ff0b"/>
      <w:bookmarkEnd w:id="344"/>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3B3C031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1.1.2.5 设计人：</w:t>
      </w:r>
    </w:p>
    <w:p w14:paraId="101C805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bookmarkStart w:id="345" w:name="EBc9b38ba4e0624228987db730ad937158"/>
      <w:bookmarkEnd w:id="345"/>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02D60536">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资质类别和等级：</w:t>
      </w:r>
      <w:bookmarkStart w:id="346" w:name="EB8aa3e011579f40e5b69997ef06a0f9e4"/>
      <w:bookmarkEnd w:id="346"/>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56144F2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bookmarkStart w:id="347" w:name="EBd5bca760c1e74fbd8c42c0b7e6c84365"/>
      <w:bookmarkEnd w:id="347"/>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3D4BAC2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bookmarkStart w:id="348" w:name="EB73cb63154221440e85c03e8673f77d17"/>
      <w:bookmarkEnd w:id="348"/>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2EF508C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bookmarkStart w:id="349" w:name="EBe2252fb1adbc4f8f8c7797b91c23e60c"/>
      <w:bookmarkEnd w:id="349"/>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5D4136A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 工程和设备</w:t>
      </w:r>
    </w:p>
    <w:p w14:paraId="11E3D90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1.1.3.7 作为施工现场组成部分的其他场所包括：</w:t>
      </w:r>
      <w:bookmarkStart w:id="350" w:name="EB8b1000229bcb4675af85ffccb59ba7ca"/>
      <w:r>
        <w:rPr>
          <w:rFonts w:hint="eastAsia" w:ascii="宋体" w:hAnsi="宋体" w:eastAsia="宋体" w:cs="宋体"/>
          <w:color w:val="auto"/>
          <w:szCs w:val="21"/>
          <w:highlight w:val="none"/>
          <w:u w:val="single"/>
        </w:rPr>
        <w:t>临时办公用房、工人宿舍、食堂、库房、临时厕所、加工房、材料堆场等</w:t>
      </w:r>
      <w:bookmarkEnd w:id="350"/>
      <w:r>
        <w:rPr>
          <w:rFonts w:hint="eastAsia" w:ascii="宋体" w:hAnsi="宋体" w:eastAsia="宋体" w:cs="宋体"/>
          <w:color w:val="auto"/>
          <w:szCs w:val="21"/>
          <w:highlight w:val="none"/>
        </w:rPr>
        <w:t>。</w:t>
      </w:r>
    </w:p>
    <w:p w14:paraId="2D62742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1.1.3.9 永久占地包括：</w:t>
      </w:r>
      <w:bookmarkStart w:id="351" w:name="EB7cea897f406d40a8b13abe25195a8067"/>
      <w:r>
        <w:rPr>
          <w:rFonts w:hint="eastAsia" w:ascii="宋体" w:hAnsi="宋体" w:eastAsia="宋体" w:cs="宋体"/>
          <w:color w:val="auto"/>
          <w:szCs w:val="21"/>
          <w:highlight w:val="none"/>
          <w:u w:val="single"/>
        </w:rPr>
        <w:t>工程征地红线内场地</w:t>
      </w:r>
      <w:bookmarkEnd w:id="351"/>
      <w:r>
        <w:rPr>
          <w:rFonts w:hint="eastAsia" w:ascii="宋体" w:hAnsi="宋体" w:eastAsia="宋体" w:cs="宋体"/>
          <w:color w:val="auto"/>
          <w:szCs w:val="21"/>
          <w:highlight w:val="none"/>
        </w:rPr>
        <w:t>。</w:t>
      </w:r>
    </w:p>
    <w:p w14:paraId="1E4B729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1.1.3.10 临时占地包括：</w:t>
      </w:r>
      <w:bookmarkStart w:id="352" w:name="EBe8e62205791242f8a17babb2bdbb8631"/>
      <w:r>
        <w:rPr>
          <w:rFonts w:hint="eastAsia" w:ascii="宋体" w:hAnsi="宋体" w:eastAsia="宋体" w:cs="宋体"/>
          <w:color w:val="auto"/>
          <w:szCs w:val="21"/>
          <w:highlight w:val="none"/>
          <w:u w:val="single"/>
        </w:rPr>
        <w:t>规划红线内临时占地须经发包人书面批准；规划红线外临时占地须经政府有关部门批准，相关审批手续发包人应当主动配合，所产生的费用结合施工组织设计由承包人自行承担</w:t>
      </w:r>
      <w:bookmarkEnd w:id="352"/>
      <w:r>
        <w:rPr>
          <w:rFonts w:hint="eastAsia" w:ascii="宋体" w:hAnsi="宋体" w:eastAsia="宋体" w:cs="宋体"/>
          <w:color w:val="auto"/>
          <w:szCs w:val="21"/>
          <w:highlight w:val="none"/>
        </w:rPr>
        <w:t>。</w:t>
      </w:r>
    </w:p>
    <w:p w14:paraId="2ED2EBD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1.3法律 </w:t>
      </w:r>
    </w:p>
    <w:p w14:paraId="0FCF143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适用于合同的其他规范性文件：</w:t>
      </w:r>
      <w:r>
        <w:rPr>
          <w:rFonts w:hint="eastAsia" w:ascii="宋体" w:hAnsi="宋体" w:eastAsia="宋体" w:cs="宋体"/>
          <w:color w:val="auto"/>
          <w:szCs w:val="21"/>
          <w:highlight w:val="none"/>
          <w:u w:val="single"/>
        </w:rPr>
        <w:t>《中华人民共和国建筑法》、《中华人民共和国民法典》、《中华人民共和国招标投标法》、《中华人民共和国环境噪声污染防治法》、《建设工程质量管理条例》、《建设工程安全生产管理条例》、建设部第89号令《房屋建筑和市政基础设施工程施工招标投标管理办法》、七部委第12号令《评标委员会和评标方法暂行规定》、《建设工程项目管理规范》GB/T50326-2006、国家有关法律法规及行业、地区的行业标准、行政法规；江苏省、镇江市现行工程建设规范性文件等</w:t>
      </w:r>
      <w:r>
        <w:rPr>
          <w:rFonts w:hint="eastAsia" w:ascii="宋体" w:hAnsi="宋体" w:eastAsia="宋体" w:cs="宋体"/>
          <w:color w:val="auto"/>
          <w:szCs w:val="21"/>
          <w:highlight w:val="none"/>
        </w:rPr>
        <w:t>。</w:t>
      </w:r>
    </w:p>
    <w:p w14:paraId="708A3B90">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1.4 标准和规范</w:t>
      </w:r>
    </w:p>
    <w:p w14:paraId="7DC773BD">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适用于工程的标准规范包括：</w:t>
      </w:r>
      <w:bookmarkStart w:id="353" w:name="EBa87cc2b3da1b4d5f9c798ae74bbbdc8e"/>
      <w:r>
        <w:rPr>
          <w:rFonts w:hint="eastAsia" w:ascii="宋体" w:hAnsi="宋体" w:eastAsia="宋体" w:cs="宋体"/>
          <w:color w:val="auto"/>
          <w:szCs w:val="21"/>
          <w:highlight w:val="none"/>
          <w:u w:val="single"/>
        </w:rPr>
        <w:t>国家、地方、行业现行的建设工程规范和标准；国家、地方、行业现行的有关材料、设备的规范和标准；现行的江苏省工程预算定额及相关规定。标准间不一致或冲突的，以严格的为准。如果“标准、规范及有关技术说明”与“合同图纸”之间出现歧义或矛盾时，数量以“合同图纸”为准，质量要求或工艺标准以“标准、规范及有关技术说明”为准（当“合同图纸”技术标准明确要求高于“标准、规范及有关技术说明”应以“合同图纸”为准）；在合同执行过程中如有新的标准颁布则按新标准规范执行</w:t>
      </w:r>
      <w:bookmarkEnd w:id="353"/>
      <w:r>
        <w:rPr>
          <w:rFonts w:hint="eastAsia" w:ascii="宋体" w:hAnsi="宋体" w:eastAsia="宋体" w:cs="宋体"/>
          <w:color w:val="auto"/>
          <w:szCs w:val="21"/>
          <w:highlight w:val="none"/>
        </w:rPr>
        <w:t>。</w:t>
      </w:r>
    </w:p>
    <w:p w14:paraId="011D967C">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  发包人提供国外标准、规范的名称：</w:t>
      </w:r>
      <w:bookmarkStart w:id="354" w:name="EB5c71151f494c484a8ede35e72ce07128"/>
      <w:bookmarkEnd w:id="354"/>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58F62CE4">
      <w:pPr>
        <w:pageBreakBefore w:val="0"/>
        <w:widowControl w:val="0"/>
        <w:spacing w:line="400" w:lineRule="exact"/>
        <w:ind w:firstLine="63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发包人提供国外标准、规范的份数：</w:t>
      </w:r>
      <w:bookmarkStart w:id="355" w:name="EB3d2b790144664836bd42b02209fb5e64"/>
      <w:bookmarkEnd w:id="355"/>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194CC2D3">
      <w:pPr>
        <w:pageBreakBefore w:val="0"/>
        <w:widowControl w:val="0"/>
        <w:spacing w:line="400" w:lineRule="exact"/>
        <w:ind w:firstLine="63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发包人提供国外标准、规范的名称：</w:t>
      </w:r>
      <w:bookmarkStart w:id="356" w:name="EBca9f7cc82ef644d5832a7c9a6f279d17"/>
      <w:bookmarkEnd w:id="356"/>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29B14922">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  发包人对工程的技术标准和功能要求的特殊要求：</w:t>
      </w:r>
      <w:r>
        <w:rPr>
          <w:rFonts w:hint="eastAsia" w:ascii="宋体" w:hAnsi="宋体" w:eastAsia="宋体" w:cs="宋体"/>
          <w:color w:val="auto"/>
          <w:szCs w:val="21"/>
          <w:highlight w:val="none"/>
          <w:u w:val="single"/>
          <w:lang w:val="en-US" w:eastAsia="zh-CN"/>
        </w:rPr>
        <w:t>按现行的国家、省、市施工验收规范、质量评定标准及有关规定,以及合同内的标准、规范，招标文件中的技术要求等</w:t>
      </w:r>
      <w:r>
        <w:rPr>
          <w:rFonts w:hint="eastAsia" w:ascii="宋体" w:hAnsi="宋体" w:eastAsia="宋体" w:cs="宋体"/>
          <w:color w:val="auto"/>
          <w:szCs w:val="21"/>
          <w:highlight w:val="none"/>
        </w:rPr>
        <w:t>。</w:t>
      </w:r>
    </w:p>
    <w:p w14:paraId="6A2DB15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1.5 合同文件的优先顺序</w:t>
      </w:r>
    </w:p>
    <w:p w14:paraId="46BFE23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合同文件组成及优先顺序为：</w:t>
      </w:r>
      <w:bookmarkStart w:id="357" w:name="EB3cba480e09e745a0a0d82e04826771f9"/>
      <w:r>
        <w:rPr>
          <w:rFonts w:hint="eastAsia" w:ascii="宋体" w:hAnsi="宋体" w:eastAsia="宋体" w:cs="宋体"/>
          <w:color w:val="auto"/>
          <w:szCs w:val="21"/>
          <w:highlight w:val="none"/>
          <w:u w:val="single"/>
        </w:rPr>
        <w:t>执行通用条款1.5 中规定的优先解释顺序</w:t>
      </w:r>
      <w:bookmarkEnd w:id="357"/>
      <w:r>
        <w:rPr>
          <w:rFonts w:hint="eastAsia" w:ascii="宋体" w:hAnsi="宋体" w:eastAsia="宋体" w:cs="宋体"/>
          <w:color w:val="auto"/>
          <w:szCs w:val="21"/>
          <w:highlight w:val="none"/>
        </w:rPr>
        <w:t>。</w:t>
      </w:r>
    </w:p>
    <w:p w14:paraId="486ABA85">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1.6 图纸和承包人文件</w:t>
      </w:r>
    </w:p>
    <w:p w14:paraId="59491DC1">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图纸的提供</w:t>
      </w:r>
    </w:p>
    <w:p w14:paraId="1511A2D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发包人向承包人提供图纸的期限：</w:t>
      </w:r>
      <w:bookmarkStart w:id="358" w:name="EBc44507fe32484ee7b79344e0512362e2"/>
      <w:r>
        <w:rPr>
          <w:rFonts w:hint="eastAsia" w:ascii="宋体" w:hAnsi="宋体" w:eastAsia="宋体" w:cs="宋体"/>
          <w:color w:val="auto"/>
          <w:szCs w:val="21"/>
          <w:highlight w:val="none"/>
          <w:u w:val="single"/>
        </w:rPr>
        <w:t>签订合同后7个日历天</w:t>
      </w:r>
      <w:bookmarkEnd w:id="358"/>
      <w:r>
        <w:rPr>
          <w:rFonts w:hint="eastAsia" w:ascii="宋体" w:hAnsi="宋体" w:eastAsia="宋体" w:cs="宋体"/>
          <w:color w:val="auto"/>
          <w:szCs w:val="21"/>
          <w:highlight w:val="none"/>
        </w:rPr>
        <w:t>；</w:t>
      </w:r>
    </w:p>
    <w:p w14:paraId="547BFF5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发包人向承包人提供图纸的数量：</w:t>
      </w:r>
      <w:bookmarkStart w:id="359" w:name="EBa0944f81754f4a9f86037cb5db47a0c2"/>
      <w:r>
        <w:rPr>
          <w:rFonts w:hint="eastAsia" w:ascii="宋体" w:hAnsi="宋体" w:eastAsia="宋体" w:cs="宋体"/>
          <w:color w:val="auto"/>
          <w:szCs w:val="21"/>
          <w:highlight w:val="none"/>
          <w:u w:val="single"/>
        </w:rPr>
        <w:t>叁套</w:t>
      </w:r>
      <w:bookmarkEnd w:id="359"/>
      <w:r>
        <w:rPr>
          <w:rFonts w:hint="eastAsia" w:ascii="宋体" w:hAnsi="宋体" w:eastAsia="宋体" w:cs="宋体"/>
          <w:color w:val="auto"/>
          <w:szCs w:val="21"/>
          <w:highlight w:val="none"/>
        </w:rPr>
        <w:t>；</w:t>
      </w:r>
    </w:p>
    <w:p w14:paraId="12289F6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发包人向承包人提供图纸的内容：</w:t>
      </w:r>
      <w:r>
        <w:rPr>
          <w:rFonts w:hint="eastAsia" w:ascii="宋体" w:hAnsi="宋体" w:eastAsia="宋体" w:cs="宋体"/>
          <w:color w:val="auto"/>
          <w:szCs w:val="21"/>
          <w:highlight w:val="none"/>
          <w:u w:val="single"/>
        </w:rPr>
        <w:t>完整的工程施工图、设计变更（如有）、图审意见</w:t>
      </w:r>
      <w:r>
        <w:rPr>
          <w:rFonts w:hint="eastAsia" w:ascii="宋体" w:hAnsi="宋体" w:eastAsia="宋体" w:cs="宋体"/>
          <w:color w:val="auto"/>
          <w:szCs w:val="21"/>
          <w:highlight w:val="none"/>
        </w:rPr>
        <w:t>。</w:t>
      </w:r>
    </w:p>
    <w:p w14:paraId="1D3E0310">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1.6.4 承包人文件</w:t>
      </w:r>
    </w:p>
    <w:p w14:paraId="281089E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需要由承包人提供的文件，包括：</w:t>
      </w:r>
      <w:r>
        <w:rPr>
          <w:rFonts w:hint="eastAsia" w:ascii="宋体" w:hAnsi="宋体" w:eastAsia="宋体" w:cs="宋体"/>
          <w:color w:val="auto"/>
          <w:szCs w:val="21"/>
          <w:highlight w:val="none"/>
          <w:u w:val="single"/>
        </w:rPr>
        <w:t>施工组织和施工进度计划、专项施工方案、项目管理机构名册、已完成工作量、拟完成的月工作量进度计划表、根据工程具体情况编制的加工图、大样图、协调配合图、本项目所有职工三级教育和每月职工出勤情况以及上级部门要求提供的其他文件等</w:t>
      </w:r>
      <w:r>
        <w:rPr>
          <w:rFonts w:hint="eastAsia" w:ascii="宋体" w:hAnsi="宋体" w:eastAsia="宋体" w:cs="宋体"/>
          <w:color w:val="auto"/>
          <w:szCs w:val="21"/>
          <w:highlight w:val="none"/>
        </w:rPr>
        <w:t>；</w:t>
      </w:r>
    </w:p>
    <w:p w14:paraId="6CCA3E7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承包人提供的文件的期限为：</w:t>
      </w:r>
      <w:bookmarkStart w:id="360" w:name="EB67f086705e1d400f84267265eb6630f9"/>
      <w:r>
        <w:rPr>
          <w:rFonts w:hint="eastAsia" w:ascii="宋体" w:hAnsi="宋体" w:eastAsia="宋体" w:cs="宋体"/>
          <w:color w:val="auto"/>
          <w:szCs w:val="21"/>
          <w:highlight w:val="none"/>
          <w:u w:val="single"/>
        </w:rPr>
        <w:t>投标文件(含施工组织设计)在合同签订后5天内，其它文件在开工前7天内提供到位</w:t>
      </w:r>
      <w:bookmarkEnd w:id="360"/>
      <w:r>
        <w:rPr>
          <w:rFonts w:hint="eastAsia" w:ascii="宋体" w:hAnsi="宋体" w:eastAsia="宋体" w:cs="宋体"/>
          <w:color w:val="auto"/>
          <w:szCs w:val="21"/>
          <w:highlight w:val="none"/>
        </w:rPr>
        <w:t>；</w:t>
      </w:r>
    </w:p>
    <w:p w14:paraId="0A8FC1E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承包人提供的文件的数量为：</w:t>
      </w:r>
      <w:bookmarkStart w:id="361" w:name="EBcac7ac44a3ea4b60a47c234f74fab519"/>
      <w:r>
        <w:rPr>
          <w:rFonts w:hint="eastAsia" w:ascii="宋体" w:hAnsi="宋体" w:eastAsia="宋体" w:cs="宋体"/>
          <w:color w:val="auto"/>
          <w:szCs w:val="21"/>
          <w:highlight w:val="none"/>
          <w:u w:val="single"/>
        </w:rPr>
        <w:t>投标文件4套，施工组织设计文件2套</w:t>
      </w:r>
      <w:bookmarkEnd w:id="361"/>
      <w:r>
        <w:rPr>
          <w:rFonts w:hint="eastAsia" w:ascii="宋体" w:hAnsi="宋体" w:eastAsia="宋体" w:cs="宋体"/>
          <w:color w:val="auto"/>
          <w:szCs w:val="21"/>
          <w:highlight w:val="none"/>
        </w:rPr>
        <w:t>；</w:t>
      </w:r>
    </w:p>
    <w:p w14:paraId="5B874D4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承包人提供的文件的形式为：</w:t>
      </w:r>
      <w:bookmarkStart w:id="362" w:name="EBd9eb8dbbfe52422289cc8396bb051631"/>
      <w:r>
        <w:rPr>
          <w:rFonts w:hint="eastAsia" w:ascii="宋体" w:hAnsi="宋体" w:eastAsia="宋体" w:cs="宋体"/>
          <w:color w:val="auto"/>
          <w:szCs w:val="21"/>
          <w:highlight w:val="none"/>
          <w:u w:val="single"/>
        </w:rPr>
        <w:t>加需同时提供电子版（不加密）及纸质版</w:t>
      </w:r>
      <w:bookmarkEnd w:id="362"/>
      <w:r>
        <w:rPr>
          <w:rFonts w:hint="eastAsia" w:ascii="宋体" w:hAnsi="宋体" w:eastAsia="宋体" w:cs="宋体"/>
          <w:color w:val="auto"/>
          <w:szCs w:val="21"/>
          <w:highlight w:val="none"/>
        </w:rPr>
        <w:t>；</w:t>
      </w:r>
    </w:p>
    <w:p w14:paraId="36B59CD3">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发包人审批承包人文件的期限：</w:t>
      </w:r>
      <w:bookmarkStart w:id="363" w:name="EBb65ce4059dae4363a75506ca4dd3fc39"/>
      <w:r>
        <w:rPr>
          <w:rFonts w:hint="eastAsia" w:ascii="宋体" w:hAnsi="宋体" w:eastAsia="宋体" w:cs="宋体"/>
          <w:color w:val="auto"/>
          <w:szCs w:val="21"/>
          <w:highlight w:val="none"/>
          <w:u w:val="single"/>
        </w:rPr>
        <w:t>按国家规定，由监理人按通用条款1.6.4约定时间，在开工前完成施工组织设计审查</w:t>
      </w:r>
      <w:bookmarkEnd w:id="363"/>
      <w:r>
        <w:rPr>
          <w:rFonts w:hint="eastAsia" w:ascii="宋体" w:hAnsi="宋体" w:eastAsia="宋体" w:cs="宋体"/>
          <w:color w:val="auto"/>
          <w:szCs w:val="21"/>
          <w:highlight w:val="none"/>
        </w:rPr>
        <w:t>。</w:t>
      </w:r>
    </w:p>
    <w:p w14:paraId="43A0BEF0">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1.6.5 现场图纸准备</w:t>
      </w:r>
    </w:p>
    <w:p w14:paraId="310F1D1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关于现场图纸准备的约定：</w:t>
      </w:r>
      <w:bookmarkStart w:id="364" w:name="EBb28623e362704b0384a8ddb466f0bbb9"/>
      <w:r>
        <w:rPr>
          <w:rFonts w:hint="eastAsia" w:ascii="宋体" w:hAnsi="宋体" w:eastAsia="宋体" w:cs="宋体"/>
          <w:color w:val="auto"/>
          <w:szCs w:val="21"/>
          <w:highlight w:val="none"/>
          <w:u w:val="single"/>
        </w:rPr>
        <w:t>执行通用条款</w:t>
      </w:r>
      <w:bookmarkEnd w:id="364"/>
      <w:r>
        <w:rPr>
          <w:rFonts w:hint="eastAsia" w:ascii="宋体" w:hAnsi="宋体" w:eastAsia="宋体" w:cs="宋体"/>
          <w:color w:val="auto"/>
          <w:szCs w:val="21"/>
          <w:highlight w:val="none"/>
        </w:rPr>
        <w:t>。</w:t>
      </w:r>
    </w:p>
    <w:p w14:paraId="492A3FE6">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1.7 联络</w:t>
      </w:r>
    </w:p>
    <w:p w14:paraId="7AFD0B5E">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1.7.1发包人和承包人应当在</w:t>
      </w:r>
      <w:bookmarkStart w:id="365" w:name="EB626b6ed3d4fb487ba6e1d6752f32b12b"/>
      <w:r>
        <w:rPr>
          <w:rFonts w:hint="eastAsia" w:ascii="宋体" w:hAnsi="宋体" w:eastAsia="宋体" w:cs="宋体"/>
          <w:color w:val="auto"/>
          <w:szCs w:val="21"/>
          <w:highlight w:val="none"/>
          <w:u w:val="single"/>
        </w:rPr>
        <w:t>作出书面文件后3</w:t>
      </w:r>
      <w:bookmarkEnd w:id="365"/>
      <w:r>
        <w:rPr>
          <w:rFonts w:hint="eastAsia" w:ascii="宋体" w:hAnsi="宋体" w:eastAsia="宋体" w:cs="宋体"/>
          <w:color w:val="auto"/>
          <w:szCs w:val="21"/>
          <w:highlight w:val="none"/>
        </w:rPr>
        <w:t>天内将与合同有关的通知、批准、证明、证书、指示、指令、要求、请求、同意、意见、确定和决定等书面函件送达对方当事人。</w:t>
      </w:r>
    </w:p>
    <w:p w14:paraId="70A77AF9">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 发包人接收文件的地点：</w:t>
      </w:r>
      <w:bookmarkStart w:id="366" w:name="EB21cea7136c9b4ae9afbc38c79fb882f2"/>
      <w:r>
        <w:rPr>
          <w:rFonts w:hint="eastAsia" w:ascii="宋体" w:hAnsi="宋体" w:eastAsia="宋体" w:cs="宋体"/>
          <w:color w:val="auto"/>
          <w:szCs w:val="21"/>
          <w:highlight w:val="none"/>
          <w:u w:val="single"/>
        </w:rPr>
        <w:t>发包人办公室</w:t>
      </w:r>
      <w:bookmarkEnd w:id="366"/>
      <w:r>
        <w:rPr>
          <w:rFonts w:hint="eastAsia" w:ascii="宋体" w:hAnsi="宋体" w:eastAsia="宋体" w:cs="宋体"/>
          <w:color w:val="auto"/>
          <w:szCs w:val="21"/>
          <w:highlight w:val="none"/>
        </w:rPr>
        <w:t>；</w:t>
      </w:r>
    </w:p>
    <w:p w14:paraId="0C145DE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发包人指定的接收人为：</w:t>
      </w:r>
      <w:bookmarkStart w:id="367" w:name="EBcbfa4c338f8647e8b0491ad118664a9b"/>
      <w:r>
        <w:rPr>
          <w:rFonts w:hint="eastAsia" w:ascii="宋体" w:hAnsi="宋体" w:eastAsia="宋体" w:cs="宋体"/>
          <w:color w:val="auto"/>
          <w:szCs w:val="21"/>
          <w:highlight w:val="none"/>
          <w:u w:val="single"/>
        </w:rPr>
        <w:t>发包人代表</w:t>
      </w:r>
      <w:bookmarkEnd w:id="367"/>
      <w:r>
        <w:rPr>
          <w:rFonts w:hint="eastAsia" w:ascii="宋体" w:hAnsi="宋体" w:eastAsia="宋体" w:cs="宋体"/>
          <w:color w:val="auto"/>
          <w:szCs w:val="21"/>
          <w:highlight w:val="none"/>
        </w:rPr>
        <w:t>。</w:t>
      </w:r>
    </w:p>
    <w:p w14:paraId="24DF7F3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承包人接收文件的地点：</w:t>
      </w:r>
      <w:bookmarkStart w:id="368" w:name="EB9a25ab8bfa3f4e6faca37476ece7e313"/>
      <w:r>
        <w:rPr>
          <w:rFonts w:hint="eastAsia" w:ascii="宋体" w:hAnsi="宋体" w:eastAsia="宋体" w:cs="宋体"/>
          <w:color w:val="auto"/>
          <w:szCs w:val="21"/>
          <w:highlight w:val="none"/>
          <w:u w:val="single"/>
        </w:rPr>
        <w:t>施工现场办公室</w:t>
      </w:r>
      <w:bookmarkEnd w:id="368"/>
      <w:r>
        <w:rPr>
          <w:rFonts w:hint="eastAsia" w:ascii="宋体" w:hAnsi="宋体" w:eastAsia="宋体" w:cs="宋体"/>
          <w:color w:val="auto"/>
          <w:szCs w:val="21"/>
          <w:highlight w:val="none"/>
        </w:rPr>
        <w:t>；</w:t>
      </w:r>
    </w:p>
    <w:p w14:paraId="5482D5F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承包人指定的接收人为：</w:t>
      </w:r>
      <w:bookmarkStart w:id="369" w:name="EB1c3d7b7125d24ea191df4decc46a3449"/>
      <w:r>
        <w:rPr>
          <w:rFonts w:hint="eastAsia" w:ascii="宋体" w:hAnsi="宋体" w:eastAsia="宋体" w:cs="宋体"/>
          <w:color w:val="auto"/>
          <w:szCs w:val="21"/>
          <w:highlight w:val="none"/>
          <w:u w:val="single"/>
        </w:rPr>
        <w:t>项目经理</w:t>
      </w:r>
      <w:bookmarkEnd w:id="369"/>
      <w:r>
        <w:rPr>
          <w:rFonts w:hint="eastAsia" w:ascii="宋体" w:hAnsi="宋体" w:eastAsia="宋体" w:cs="宋体"/>
          <w:color w:val="auto"/>
          <w:szCs w:val="21"/>
          <w:highlight w:val="none"/>
        </w:rPr>
        <w:t>。</w:t>
      </w:r>
    </w:p>
    <w:p w14:paraId="24D82CE2">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监理人接收文件的地点：</w:t>
      </w:r>
      <w:bookmarkStart w:id="370" w:name="EB9cb78c6b46a24c58b1777bbba2de93bc"/>
      <w:r>
        <w:rPr>
          <w:rFonts w:hint="eastAsia" w:ascii="宋体" w:hAnsi="宋体" w:eastAsia="宋体" w:cs="宋体"/>
          <w:color w:val="auto"/>
          <w:szCs w:val="21"/>
          <w:highlight w:val="none"/>
          <w:u w:val="single"/>
        </w:rPr>
        <w:t>施工现场监理人</w:t>
      </w:r>
      <w:bookmarkEnd w:id="370"/>
      <w:r>
        <w:rPr>
          <w:rFonts w:hint="eastAsia" w:ascii="宋体" w:hAnsi="宋体" w:eastAsia="宋体" w:cs="宋体"/>
          <w:color w:val="auto"/>
          <w:szCs w:val="21"/>
          <w:highlight w:val="none"/>
        </w:rPr>
        <w:t>；</w:t>
      </w:r>
    </w:p>
    <w:p w14:paraId="190A3A2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监理人指定的接收人为：</w:t>
      </w:r>
      <w:bookmarkStart w:id="371" w:name="EB72e7ae2e14b847edae4d957deec3b809"/>
      <w:r>
        <w:rPr>
          <w:rFonts w:hint="eastAsia" w:ascii="宋体" w:hAnsi="宋体" w:eastAsia="宋体" w:cs="宋体"/>
          <w:color w:val="auto"/>
          <w:szCs w:val="21"/>
          <w:highlight w:val="none"/>
          <w:u w:val="single"/>
        </w:rPr>
        <w:t>总监理工程师</w:t>
      </w:r>
      <w:bookmarkEnd w:id="371"/>
      <w:r>
        <w:rPr>
          <w:rFonts w:hint="eastAsia" w:ascii="宋体" w:hAnsi="宋体" w:eastAsia="宋体" w:cs="宋体"/>
          <w:color w:val="auto"/>
          <w:szCs w:val="21"/>
          <w:highlight w:val="none"/>
        </w:rPr>
        <w:t>。</w:t>
      </w:r>
    </w:p>
    <w:p w14:paraId="366B3589">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 交通运输</w:t>
      </w:r>
    </w:p>
    <w:p w14:paraId="2F26FC6B">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1.10.1 出入现场的权利</w:t>
      </w:r>
    </w:p>
    <w:p w14:paraId="7BD1DFF1">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关于出入现场的权利的约定：</w:t>
      </w:r>
      <w:r>
        <w:rPr>
          <w:rFonts w:hint="eastAsia" w:ascii="宋体" w:hAnsi="宋体" w:eastAsia="宋体" w:cs="宋体"/>
          <w:color w:val="auto"/>
          <w:szCs w:val="21"/>
          <w:highlight w:val="none"/>
          <w:u w:val="single"/>
        </w:rPr>
        <w:t>发包人负责协调，由承包人取得出入施工现场所需的批准手续和全部权利及取得因施工所需修建施工临时通道、施工现场特殊管制（城镇老旧小区改造项目、历史文化街区改造项目施工时，交通管理部门对施工现场交通疏导而增加的设施与疏导人员）及其他临时基础设施的权利，相关手续费用和建设费用在投标报价中综合考虑。</w:t>
      </w:r>
    </w:p>
    <w:p w14:paraId="0998D7BE">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1.10.3 场内交通</w:t>
      </w:r>
    </w:p>
    <w:p w14:paraId="4CB9861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关于场外交通和场内交通的边界的约定：</w:t>
      </w:r>
      <w:r>
        <w:rPr>
          <w:rFonts w:hint="eastAsia" w:ascii="宋体" w:hAnsi="宋体" w:eastAsia="宋体" w:cs="宋体"/>
          <w:color w:val="auto"/>
          <w:szCs w:val="21"/>
          <w:highlight w:val="none"/>
          <w:u w:val="single"/>
        </w:rPr>
        <w:t>以项目规划用地红线为边界，红线范围内的交通区域及设施归为场内交通，红线范围外的交通道路及设施归为场外交通</w:t>
      </w:r>
      <w:r>
        <w:rPr>
          <w:rFonts w:hint="eastAsia" w:ascii="宋体" w:hAnsi="宋体" w:eastAsia="宋体" w:cs="宋体"/>
          <w:color w:val="auto"/>
          <w:szCs w:val="21"/>
          <w:highlight w:val="none"/>
        </w:rPr>
        <w:t>。</w:t>
      </w:r>
    </w:p>
    <w:p w14:paraId="015D30C8">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关于发包人向承包人免费提供满足工程施工需要的场内道路和交通设施的约定：</w:t>
      </w:r>
      <w:r>
        <w:rPr>
          <w:rFonts w:hint="eastAsia" w:ascii="宋体" w:hAnsi="宋体" w:eastAsia="宋体" w:cs="宋体"/>
          <w:color w:val="auto"/>
          <w:szCs w:val="21"/>
          <w:highlight w:val="none"/>
          <w:u w:val="single"/>
        </w:rPr>
        <w:t>承包人自行踏勘现场后对场内交通设施不能满足本工程施工需要的，由承包人负责完善并在报价中包含相应费用。发包人和监理人可以为实现合同目的免费使用承包人修建的场内临时道路和交通设施</w:t>
      </w:r>
      <w:r>
        <w:rPr>
          <w:rFonts w:hint="eastAsia" w:ascii="宋体" w:hAnsi="宋体" w:eastAsia="宋体" w:cs="宋体"/>
          <w:color w:val="auto"/>
          <w:szCs w:val="21"/>
          <w:highlight w:val="none"/>
        </w:rPr>
        <w:t xml:space="preserve">。  </w:t>
      </w:r>
    </w:p>
    <w:p w14:paraId="2E09A3DE">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1.10.4超大件和超重件的运输</w:t>
      </w:r>
    </w:p>
    <w:p w14:paraId="4ED2BCC7">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由承包人负责运输的超大件或超重件，应由</w:t>
      </w:r>
      <w:r>
        <w:rPr>
          <w:rFonts w:hint="eastAsia" w:ascii="宋体" w:hAnsi="宋体" w:eastAsia="宋体" w:cs="宋体"/>
          <w:color w:val="auto"/>
          <w:szCs w:val="21"/>
          <w:highlight w:val="none"/>
          <w:u w:val="single"/>
        </w:rPr>
        <w:t xml:space="preserve"> 承包人 </w:t>
      </w:r>
      <w:r>
        <w:rPr>
          <w:rFonts w:hint="eastAsia" w:ascii="宋体" w:hAnsi="宋体" w:eastAsia="宋体" w:cs="宋体"/>
          <w:color w:val="auto"/>
          <w:szCs w:val="21"/>
          <w:highlight w:val="none"/>
        </w:rPr>
        <w:t>负责向交通管理部门办理申请手续，发包人给予协助。运输超大件或超重件所需的道路和桥梁临时加固改造费用和其他有关费用，由</w:t>
      </w:r>
      <w:r>
        <w:rPr>
          <w:rFonts w:hint="eastAsia" w:ascii="宋体" w:hAnsi="宋体" w:eastAsia="宋体" w:cs="宋体"/>
          <w:color w:val="auto"/>
          <w:szCs w:val="21"/>
          <w:highlight w:val="none"/>
          <w:u w:val="single"/>
        </w:rPr>
        <w:t xml:space="preserve"> 承包人 </w:t>
      </w:r>
      <w:r>
        <w:rPr>
          <w:rFonts w:hint="eastAsia" w:ascii="宋体" w:hAnsi="宋体" w:eastAsia="宋体" w:cs="宋体"/>
          <w:color w:val="auto"/>
          <w:szCs w:val="21"/>
          <w:highlight w:val="none"/>
        </w:rPr>
        <w:t>报价中综合考虑，结算时不另行支付。</w:t>
      </w:r>
    </w:p>
    <w:p w14:paraId="28BAA9A6">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知识产权</w:t>
      </w:r>
    </w:p>
    <w:p w14:paraId="102E3B8B">
      <w:pPr>
        <w:pageBreakBefore w:val="0"/>
        <w:widowControl w:val="0"/>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1.11.4 承包人在施工过程中所采用的专利、专有技术、技术秘密的使用费的承担方式：</w:t>
      </w:r>
      <w:r>
        <w:rPr>
          <w:rFonts w:hint="eastAsia" w:ascii="宋体" w:hAnsi="宋体" w:eastAsia="宋体" w:cs="宋体"/>
          <w:color w:val="auto"/>
          <w:highlight w:val="none"/>
          <w:u w:val="single"/>
        </w:rPr>
        <w:t>在承包人所投项目范围内，发包人无偿使用，就此所产生的费用由承包人在报价中综合考虑，结算时不予增加</w:t>
      </w:r>
      <w:r>
        <w:rPr>
          <w:rFonts w:hint="eastAsia" w:ascii="宋体" w:hAnsi="宋体" w:eastAsia="宋体" w:cs="宋体"/>
          <w:color w:val="auto"/>
          <w:highlight w:val="none"/>
        </w:rPr>
        <w:t>。</w:t>
      </w:r>
    </w:p>
    <w:p w14:paraId="7230A803">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1.13工程量清单错误的修正</w:t>
      </w:r>
    </w:p>
    <w:p w14:paraId="4686BA4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出现工程量清单错误时，是否调整合同价格：</w:t>
      </w:r>
      <w:bookmarkStart w:id="372" w:name="EB71efa267889842ef98ef2fda0c918226"/>
      <w:r>
        <w:rPr>
          <w:rFonts w:hint="eastAsia" w:ascii="宋体" w:hAnsi="宋体" w:eastAsia="宋体" w:cs="宋体"/>
          <w:color w:val="auto"/>
          <w:szCs w:val="21"/>
          <w:highlight w:val="none"/>
          <w:u w:val="single"/>
        </w:rPr>
        <w:t>是</w:t>
      </w:r>
      <w:bookmarkEnd w:id="372"/>
      <w:r>
        <w:rPr>
          <w:rFonts w:hint="eastAsia" w:ascii="宋体" w:hAnsi="宋体" w:eastAsia="宋体" w:cs="宋体"/>
          <w:color w:val="auto"/>
          <w:szCs w:val="21"/>
          <w:highlight w:val="none"/>
        </w:rPr>
        <w:t>。</w:t>
      </w:r>
    </w:p>
    <w:p w14:paraId="48FB17D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允许调整合同价格的工程量偏差范围：</w:t>
      </w:r>
      <w:bookmarkStart w:id="373" w:name="EB3d3a2774ab2849379ed985e0a5fcc483"/>
      <w:r>
        <w:rPr>
          <w:rFonts w:hint="eastAsia" w:ascii="宋体" w:hAnsi="宋体" w:eastAsia="宋体" w:cs="宋体"/>
          <w:color w:val="auto"/>
          <w:szCs w:val="21"/>
          <w:highlight w:val="none"/>
          <w:u w:val="single"/>
        </w:rPr>
        <w:t>执行现行工程量清单规范（标准）的相关原则</w:t>
      </w:r>
      <w:bookmarkEnd w:id="373"/>
      <w:r>
        <w:rPr>
          <w:rFonts w:hint="eastAsia" w:ascii="宋体" w:hAnsi="宋体" w:eastAsia="宋体" w:cs="宋体"/>
          <w:color w:val="auto"/>
          <w:szCs w:val="21"/>
          <w:highlight w:val="none"/>
        </w:rPr>
        <w:t>。</w:t>
      </w:r>
    </w:p>
    <w:p w14:paraId="23C9C4D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   施工现场、施工条件和基础资料的提供</w:t>
      </w:r>
    </w:p>
    <w:p w14:paraId="1A2BF24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 资金来源证明及支付担保</w:t>
      </w:r>
    </w:p>
    <w:p w14:paraId="4D4FF2D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发包人提供资金来源证明的期限要求：</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07859493">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发包人是否提供支付担保：</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6FEB7CB8">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发包人提供支付担保的形式：</w:t>
      </w:r>
      <w:r>
        <w:rPr>
          <w:rFonts w:hint="eastAsia" w:ascii="宋体" w:hAnsi="宋体" w:eastAsia="宋体" w:cs="宋体"/>
          <w:color w:val="auto"/>
          <w:szCs w:val="21"/>
          <w:highlight w:val="none"/>
          <w:u w:val="single"/>
        </w:rPr>
        <w:t>政府投资项目将有权部门出具的资金来源证明作为支付担保凭证</w:t>
      </w:r>
      <w:r>
        <w:rPr>
          <w:rFonts w:hint="eastAsia" w:ascii="宋体" w:hAnsi="宋体" w:eastAsia="宋体" w:cs="宋体"/>
          <w:color w:val="auto"/>
          <w:szCs w:val="21"/>
          <w:highlight w:val="none"/>
        </w:rPr>
        <w:t>。</w:t>
      </w:r>
    </w:p>
    <w:p w14:paraId="3141F72F">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 承包人</w:t>
      </w:r>
    </w:p>
    <w:p w14:paraId="46CFE1CA">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承包人的一般义务</w:t>
      </w:r>
    </w:p>
    <w:p w14:paraId="770DC9C5">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（9）承包人提交的竣工资料的内容：</w:t>
      </w:r>
      <w:bookmarkStart w:id="374" w:name="EBe0360b0829ac49e681ed00bde7588491"/>
      <w:r>
        <w:rPr>
          <w:rFonts w:hint="eastAsia" w:ascii="宋体" w:hAnsi="宋体" w:eastAsia="宋体" w:cs="宋体"/>
          <w:color w:val="auto"/>
          <w:szCs w:val="21"/>
          <w:highlight w:val="none"/>
          <w:u w:val="single"/>
        </w:rPr>
        <w:t>工程施工技术资料、工程质检资料、工程检验评定资料、竣工图，规定的其他应交资料，并满足丹阳城建档案管理机构要求的竣工图及相关资料等，并负责档案馆的归档整理工作</w:t>
      </w:r>
      <w:bookmarkEnd w:id="374"/>
      <w:r>
        <w:rPr>
          <w:rFonts w:hint="eastAsia" w:ascii="宋体" w:hAnsi="宋体" w:eastAsia="宋体" w:cs="宋体"/>
          <w:color w:val="auto"/>
          <w:szCs w:val="21"/>
          <w:highlight w:val="none"/>
        </w:rPr>
        <w:t>。</w:t>
      </w:r>
    </w:p>
    <w:p w14:paraId="15EBA84F">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承包人需要提交的竣工资料套数：</w:t>
      </w:r>
      <w:bookmarkStart w:id="375" w:name="EB7c763010b8f846b5bfbf63317d9ca1d5"/>
      <w:r>
        <w:rPr>
          <w:rFonts w:hint="eastAsia" w:ascii="宋体" w:hAnsi="宋体" w:eastAsia="宋体" w:cs="宋体"/>
          <w:color w:val="auto"/>
          <w:szCs w:val="21"/>
          <w:highlight w:val="none"/>
          <w:u w:val="single"/>
        </w:rPr>
        <w:t>纸质版陆套，电子版竣工图一套</w:t>
      </w:r>
      <w:bookmarkEnd w:id="375"/>
      <w:r>
        <w:rPr>
          <w:rFonts w:hint="eastAsia" w:ascii="宋体" w:hAnsi="宋体" w:eastAsia="宋体" w:cs="宋体"/>
          <w:color w:val="auto"/>
          <w:szCs w:val="21"/>
          <w:highlight w:val="none"/>
        </w:rPr>
        <w:t>。</w:t>
      </w:r>
    </w:p>
    <w:p w14:paraId="46C8D059">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承包人提交的竣工资料的费用承担：</w:t>
      </w:r>
      <w:bookmarkStart w:id="376" w:name="EBa329c26310fd4cef96fcfb2c1dd01dfa"/>
      <w:r>
        <w:rPr>
          <w:rFonts w:hint="eastAsia" w:ascii="宋体" w:hAnsi="宋体" w:eastAsia="宋体" w:cs="宋体"/>
          <w:color w:val="auto"/>
          <w:szCs w:val="21"/>
          <w:highlight w:val="none"/>
          <w:u w:val="single"/>
        </w:rPr>
        <w:t>由承包人自行承担</w:t>
      </w:r>
      <w:bookmarkEnd w:id="376"/>
      <w:r>
        <w:rPr>
          <w:rFonts w:hint="eastAsia" w:ascii="宋体" w:hAnsi="宋体" w:eastAsia="宋体" w:cs="宋体"/>
          <w:color w:val="auto"/>
          <w:szCs w:val="21"/>
          <w:highlight w:val="none"/>
        </w:rPr>
        <w:t>。</w:t>
      </w:r>
    </w:p>
    <w:p w14:paraId="1A9F1184">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承包人提交的竣工资料移交时间：</w:t>
      </w:r>
      <w:bookmarkStart w:id="377" w:name="EB4451abd14720437dbc3258d25d7a4113"/>
      <w:r>
        <w:rPr>
          <w:rFonts w:hint="eastAsia" w:ascii="宋体" w:hAnsi="宋体" w:eastAsia="宋体" w:cs="宋体"/>
          <w:color w:val="auto"/>
          <w:szCs w:val="21"/>
          <w:highlight w:val="none"/>
          <w:u w:val="single"/>
        </w:rPr>
        <w:t>竣工验收资料须在竣工验收前7天内提供，其他资料应在竣工验收合格后28天内移交</w:t>
      </w:r>
      <w:bookmarkEnd w:id="377"/>
      <w:r>
        <w:rPr>
          <w:rFonts w:hint="eastAsia" w:ascii="宋体" w:hAnsi="宋体" w:eastAsia="宋体" w:cs="宋体"/>
          <w:color w:val="auto"/>
          <w:szCs w:val="21"/>
          <w:highlight w:val="none"/>
        </w:rPr>
        <w:t>。</w:t>
      </w:r>
    </w:p>
    <w:p w14:paraId="3854E798">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承包人提交的竣工资料形式要求：</w:t>
      </w:r>
      <w:bookmarkStart w:id="378" w:name="EB43004b4039c64daf92ecfa1dc1ebdd1d"/>
      <w:r>
        <w:rPr>
          <w:rFonts w:hint="eastAsia" w:ascii="宋体" w:hAnsi="宋体" w:eastAsia="宋体" w:cs="宋体"/>
          <w:color w:val="auto"/>
          <w:szCs w:val="21"/>
          <w:highlight w:val="none"/>
          <w:u w:val="single"/>
        </w:rPr>
        <w:t>电子版（不加密）及纸质版</w:t>
      </w:r>
      <w:bookmarkEnd w:id="378"/>
      <w:r>
        <w:rPr>
          <w:rFonts w:hint="eastAsia" w:ascii="宋体" w:hAnsi="宋体" w:eastAsia="宋体" w:cs="宋体"/>
          <w:color w:val="auto"/>
          <w:szCs w:val="21"/>
          <w:highlight w:val="none"/>
        </w:rPr>
        <w:t>。</w:t>
      </w:r>
    </w:p>
    <w:p w14:paraId="0C818A48">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（10）承包人实施建筑工人实名制制度的约定：</w:t>
      </w:r>
      <w:r>
        <w:rPr>
          <w:rFonts w:hint="eastAsia" w:ascii="宋体" w:hAnsi="宋体" w:eastAsia="宋体" w:cs="宋体"/>
          <w:color w:val="auto"/>
          <w:szCs w:val="21"/>
          <w:highlight w:val="none"/>
          <w:u w:val="single"/>
        </w:rPr>
        <w:t>配备农民工实名制管理所必须的软硬件设施设备，推行信息化实名制管理</w:t>
      </w:r>
      <w:r>
        <w:rPr>
          <w:rFonts w:hint="eastAsia" w:ascii="宋体" w:hAnsi="宋体" w:eastAsia="宋体" w:cs="宋体"/>
          <w:color w:val="auto"/>
          <w:szCs w:val="21"/>
          <w:highlight w:val="none"/>
        </w:rPr>
        <w:t>。</w:t>
      </w:r>
    </w:p>
    <w:p w14:paraId="3F2C71BF">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（11）工程款专用及建筑工人工资专用账户的约定：</w:t>
      </w:r>
      <w:r>
        <w:rPr>
          <w:rFonts w:hint="eastAsia" w:ascii="宋体" w:hAnsi="宋体" w:eastAsia="宋体" w:cs="宋体"/>
          <w:color w:val="auto"/>
          <w:szCs w:val="21"/>
          <w:highlight w:val="none"/>
          <w:u w:val="single"/>
        </w:rPr>
        <w:t>承包单位按现行规定设立农民工工资专用账户</w:t>
      </w:r>
      <w:r>
        <w:rPr>
          <w:rFonts w:hint="eastAsia" w:ascii="宋体" w:hAnsi="宋体" w:eastAsia="宋体" w:cs="宋体"/>
          <w:color w:val="auto"/>
          <w:szCs w:val="21"/>
          <w:highlight w:val="none"/>
        </w:rPr>
        <w:t>。</w:t>
      </w:r>
    </w:p>
    <w:p w14:paraId="3C0CC14C">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）承包人应履行的其他义务：</w:t>
      </w:r>
    </w:p>
    <w:p w14:paraId="6B9FB10B">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与农民工签订相关合同，按月考核农民工工作量并交开户银行通过工资专户直接将工资划入农民工个人银行卡。</w:t>
      </w:r>
    </w:p>
    <w:p w14:paraId="16E9280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3.2 项目经理</w:t>
      </w:r>
    </w:p>
    <w:p w14:paraId="35CFB3C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 项目经理：</w:t>
      </w:r>
    </w:p>
    <w:p w14:paraId="28948BF7">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bookmarkStart w:id="379" w:name="EB5bb50edab5204af3b3f054b2c1109d55"/>
      <w:bookmarkEnd w:id="379"/>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A2CC2E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bookmarkStart w:id="380" w:name="EB490d47343c4c4beb85b44a53ac3961a0"/>
      <w:bookmarkEnd w:id="380"/>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A97ADD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建造师执业资格等级：</w:t>
      </w:r>
      <w:bookmarkStart w:id="381" w:name="EBe8c4bfc0e0714271bbe0303616eb5c51"/>
      <w:bookmarkEnd w:id="381"/>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C9A5C5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建造师注册证书号：</w:t>
      </w:r>
      <w:bookmarkStart w:id="382" w:name="EBfccf8a487c184de4983c51691bfed087"/>
      <w:bookmarkEnd w:id="382"/>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635C4F8">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建造师执业印章号：</w:t>
      </w:r>
      <w:bookmarkStart w:id="383" w:name="EB6f29a828adff4f249580d4419a998ce1"/>
      <w:bookmarkEnd w:id="383"/>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172CEF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安全生产考核合格证书号：</w:t>
      </w:r>
      <w:bookmarkStart w:id="384" w:name="EB59ae3f5004fa4784baa024bd54e1e41c"/>
      <w:bookmarkEnd w:id="384"/>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8D279B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bookmarkStart w:id="385" w:name="EB183a51b3a3bf4e6282b169352e320fa4"/>
      <w:bookmarkEnd w:id="385"/>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527F8B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bookmarkStart w:id="386" w:name="EB0fb3d9c139a44666922c2b69f367ea13"/>
      <w:bookmarkEnd w:id="386"/>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724186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bookmarkStart w:id="387" w:name="EB7e05c994ccd24d8fa844ad5264a79281"/>
      <w:bookmarkEnd w:id="387"/>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4CA7C7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承包人对项目经理的授权范围如下：</w:t>
      </w:r>
      <w:bookmarkStart w:id="388" w:name="EB91ae455537c843e6aa2711a1d68d29f6"/>
      <w:r>
        <w:rPr>
          <w:rFonts w:hint="eastAsia" w:ascii="宋体" w:hAnsi="宋体" w:eastAsia="宋体" w:cs="宋体"/>
          <w:color w:val="auto"/>
          <w:szCs w:val="21"/>
          <w:highlight w:val="none"/>
          <w:u w:val="single"/>
        </w:rPr>
        <w:t>代表承包人履行合同。按合同约定组织工程实施；在合同约定范围内主持承包人有关施工、技术、工程进度、现场管理、安全生产、质量检验、竣工交付、结算等方面工作 ；与项目相关方进行直接沟通</w:t>
      </w:r>
      <w:r>
        <w:rPr>
          <w:rFonts w:hint="eastAsia" w:ascii="宋体" w:hAnsi="宋体" w:cs="宋体"/>
          <w:color w:val="auto"/>
          <w:szCs w:val="21"/>
          <w:highlight w:val="none"/>
          <w:u w:val="single"/>
          <w:lang w:eastAsia="zh-CN"/>
        </w:rPr>
        <w:t>；</w:t>
      </w:r>
      <w:r>
        <w:rPr>
          <w:rFonts w:hint="eastAsia" w:ascii="宋体" w:hAnsi="宋体" w:eastAsia="宋体" w:cs="宋体"/>
          <w:color w:val="auto"/>
          <w:szCs w:val="21"/>
          <w:highlight w:val="none"/>
          <w:u w:val="single"/>
        </w:rPr>
        <w:t>接受、签发、确认相关文件</w:t>
      </w:r>
      <w:bookmarkEnd w:id="388"/>
      <w:r>
        <w:rPr>
          <w:rFonts w:hint="eastAsia" w:ascii="宋体" w:hAnsi="宋体" w:eastAsia="宋体" w:cs="宋体"/>
          <w:color w:val="auto"/>
          <w:szCs w:val="21"/>
          <w:highlight w:val="none"/>
        </w:rPr>
        <w:t>。</w:t>
      </w:r>
    </w:p>
    <w:p w14:paraId="1AFD25E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关于项目经理每月在施工现场的时间要求：</w:t>
      </w:r>
      <w:bookmarkStart w:id="389" w:name="EBeee018cd35ef43d990a672658778b19e"/>
      <w:r>
        <w:rPr>
          <w:rFonts w:hint="eastAsia" w:ascii="宋体" w:hAnsi="宋体" w:eastAsia="宋体" w:cs="宋体"/>
          <w:color w:val="auto"/>
          <w:szCs w:val="21"/>
          <w:highlight w:val="none"/>
          <w:u w:val="single"/>
        </w:rPr>
        <w:t>具体参照镇政建</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rPr>
        <w:t>2020</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rPr>
        <w:t>83号文且每月不得少于24天，每日在施工现场工作时间不得少于8小时；必须参加每周召开的例会。以现场监理工程师的考勤记录为准</w:t>
      </w:r>
      <w:bookmarkEnd w:id="389"/>
      <w:r>
        <w:rPr>
          <w:rFonts w:hint="eastAsia" w:ascii="宋体" w:hAnsi="宋体" w:eastAsia="宋体" w:cs="宋体"/>
          <w:color w:val="auto"/>
          <w:szCs w:val="21"/>
          <w:highlight w:val="none"/>
        </w:rPr>
        <w:t>。</w:t>
      </w:r>
    </w:p>
    <w:p w14:paraId="3F50E7B9">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承包人未提交劳动合同，以及没有为项目经理缴纳社会保险证明的违约责任：</w:t>
      </w:r>
      <w:bookmarkStart w:id="390" w:name="EB1455796331c54bb88555685a000960d4"/>
      <w:r>
        <w:rPr>
          <w:rFonts w:hint="eastAsia" w:ascii="宋体" w:hAnsi="宋体" w:eastAsia="宋体" w:cs="宋体"/>
          <w:color w:val="auto"/>
          <w:szCs w:val="21"/>
          <w:highlight w:val="none"/>
          <w:u w:val="single"/>
        </w:rPr>
        <w:t>缴纳的违约金合同价款的0.1%，责令限期补交劳动合同并补缴社会保险，承包人依然不能执行的发包人有权要求承包人更换项目经理</w:t>
      </w:r>
      <w:bookmarkEnd w:id="390"/>
      <w:r>
        <w:rPr>
          <w:rFonts w:hint="eastAsia" w:ascii="宋体" w:hAnsi="宋体" w:eastAsia="宋体" w:cs="宋体"/>
          <w:color w:val="auto"/>
          <w:szCs w:val="21"/>
          <w:highlight w:val="none"/>
        </w:rPr>
        <w:t>。</w:t>
      </w:r>
    </w:p>
    <w:p w14:paraId="39AAED47">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项目经理未经批准，擅自离开施工现场的违约责任：</w:t>
      </w:r>
      <w:bookmarkStart w:id="391" w:name="EB14bc8176bf6644c4add527302193c651"/>
      <w:r>
        <w:rPr>
          <w:rFonts w:hint="eastAsia" w:ascii="宋体" w:hAnsi="宋体" w:eastAsia="宋体" w:cs="宋体"/>
          <w:color w:val="auto"/>
          <w:szCs w:val="21"/>
          <w:highlight w:val="none"/>
          <w:u w:val="single"/>
        </w:rPr>
        <w:t>未经发包人批准脱离施工现场超过1天的，每发生1次，向发包人支付2万元的违约金；发生3次以上或累计脱离现场超过3天，发包人有权要求承包人更换项目经理</w:t>
      </w:r>
      <w:bookmarkEnd w:id="391"/>
      <w:r>
        <w:rPr>
          <w:rFonts w:hint="eastAsia" w:ascii="宋体" w:hAnsi="宋体" w:eastAsia="宋体" w:cs="宋体"/>
          <w:color w:val="auto"/>
          <w:szCs w:val="21"/>
          <w:highlight w:val="none"/>
        </w:rPr>
        <w:t>。</w:t>
      </w:r>
    </w:p>
    <w:p w14:paraId="689A96E2">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3.2.3 承包人擅自更换项目经理的违约责任：</w:t>
      </w:r>
      <w:bookmarkStart w:id="392" w:name="EBe45b79f8a8a147b2a576cac9665fc30d"/>
      <w:r>
        <w:rPr>
          <w:rFonts w:hint="eastAsia" w:ascii="宋体" w:hAnsi="宋体" w:eastAsia="宋体" w:cs="宋体"/>
          <w:color w:val="auto"/>
          <w:szCs w:val="21"/>
          <w:highlight w:val="none"/>
          <w:u w:val="single"/>
        </w:rPr>
        <w:t>承包人将承担合同价款的0.1%的违约金。若承包人未按发包人要求整改的，发包人将有权终止合同并提起索赔</w:t>
      </w:r>
      <w:bookmarkEnd w:id="392"/>
      <w:r>
        <w:rPr>
          <w:rFonts w:hint="eastAsia" w:ascii="宋体" w:hAnsi="宋体" w:eastAsia="宋体" w:cs="宋体"/>
          <w:color w:val="auto"/>
          <w:szCs w:val="21"/>
          <w:highlight w:val="none"/>
        </w:rPr>
        <w:t>。</w:t>
      </w:r>
    </w:p>
    <w:p w14:paraId="4C06E7D8">
      <w:pPr>
        <w:pageBreakBefore w:val="0"/>
        <w:widowControl w:val="0"/>
        <w:spacing w:line="400" w:lineRule="exact"/>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3.2.4 承包人无正当理由拒绝更换项目经理的违约责任：</w:t>
      </w:r>
      <w:bookmarkStart w:id="393" w:name="EB7288427fef464056936691353ebbd123"/>
      <w:r>
        <w:rPr>
          <w:rFonts w:hint="eastAsia" w:ascii="宋体" w:hAnsi="宋体" w:eastAsia="宋体" w:cs="宋体"/>
          <w:color w:val="auto"/>
          <w:highlight w:val="none"/>
          <w:u w:val="single"/>
        </w:rPr>
        <w:t>除执行通用条款3.2.4外，承包人应保证按照投标文件的承诺安排现场管理人员到场，承包人无正当理由拒绝更换项目经理的，处</w:t>
      </w:r>
      <w:r>
        <w:rPr>
          <w:rFonts w:hint="eastAsia" w:ascii="宋体" w:hAnsi="宋体" w:eastAsia="宋体" w:cs="宋体"/>
          <w:color w:val="auto"/>
          <w:highlight w:val="none"/>
          <w:u w:val="single"/>
          <w:lang w:val="en-US" w:eastAsia="zh-CN"/>
        </w:rPr>
        <w:t>3</w:t>
      </w:r>
      <w:r>
        <w:rPr>
          <w:rFonts w:hint="eastAsia" w:ascii="宋体" w:hAnsi="宋体" w:eastAsia="宋体" w:cs="宋体"/>
          <w:color w:val="auto"/>
          <w:highlight w:val="none"/>
          <w:u w:val="single"/>
        </w:rPr>
        <w:t>万元/次违约金，发包人有权终止合同</w:t>
      </w:r>
      <w:bookmarkEnd w:id="393"/>
      <w:r>
        <w:rPr>
          <w:rFonts w:hint="eastAsia" w:ascii="宋体" w:hAnsi="宋体" w:eastAsia="宋体" w:cs="宋体"/>
          <w:color w:val="auto"/>
          <w:highlight w:val="none"/>
        </w:rPr>
        <w:t>。</w:t>
      </w:r>
    </w:p>
    <w:p w14:paraId="7946D679">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3.3 承包人人员</w:t>
      </w:r>
    </w:p>
    <w:p w14:paraId="0DD7F97C">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 承包人提交项目管理机构及施工现场管理人员安排报告的期限：</w:t>
      </w:r>
      <w:bookmarkStart w:id="394" w:name="EBb1c1a4c35f6b41c7ba7bcbfe618d8e0a"/>
      <w:r>
        <w:rPr>
          <w:rFonts w:hint="eastAsia" w:ascii="宋体" w:hAnsi="宋体" w:eastAsia="宋体" w:cs="宋体"/>
          <w:color w:val="auto"/>
          <w:szCs w:val="21"/>
          <w:highlight w:val="none"/>
          <w:u w:val="single"/>
        </w:rPr>
        <w:t>除执行通用条款3.3.1外，承包人应保证按照投标文件的承诺安排现场管理人员到场</w:t>
      </w:r>
      <w:bookmarkEnd w:id="394"/>
      <w:r>
        <w:rPr>
          <w:rFonts w:hint="eastAsia" w:ascii="宋体" w:hAnsi="宋体" w:eastAsia="宋体" w:cs="宋体"/>
          <w:color w:val="auto"/>
          <w:szCs w:val="21"/>
          <w:highlight w:val="none"/>
        </w:rPr>
        <w:t>。</w:t>
      </w:r>
    </w:p>
    <w:p w14:paraId="4BA1D96B">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 承包人无正当理由拒绝撤换主要施工管理人员的违约责任：</w:t>
      </w:r>
      <w:bookmarkStart w:id="395" w:name="EB4993d135e65141fb940bf8a9334bfb71"/>
      <w:r>
        <w:rPr>
          <w:rFonts w:hint="eastAsia" w:ascii="宋体" w:hAnsi="宋体" w:eastAsia="宋体" w:cs="宋体"/>
          <w:color w:val="auto"/>
          <w:szCs w:val="21"/>
          <w:highlight w:val="none"/>
          <w:u w:val="single"/>
        </w:rPr>
        <w:t>承包人收到发包人更换不合格的主要施工管理人员的通知后，未按照约定时间更换的，每逾期一日应当支付2000元的违约金；逾期超过15日的，发包人有权解除合同，并要求承包人承担因此造成的全部损失</w:t>
      </w:r>
      <w:bookmarkEnd w:id="395"/>
      <w:r>
        <w:rPr>
          <w:rFonts w:hint="eastAsia" w:ascii="宋体" w:hAnsi="宋体" w:eastAsia="宋体" w:cs="宋体"/>
          <w:color w:val="auto"/>
          <w:szCs w:val="21"/>
          <w:highlight w:val="none"/>
        </w:rPr>
        <w:t>。</w:t>
      </w:r>
    </w:p>
    <w:p w14:paraId="0BF03B80">
      <w:pPr>
        <w:keepNext w:val="0"/>
        <w:keepLines w:val="0"/>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3.3.4 承包人主要施工管理人员离开施工现场的批准要求：</w:t>
      </w:r>
      <w:bookmarkStart w:id="396" w:name="EB90c32d6d8e55438083d1a2ab0e61faa5"/>
      <w:r>
        <w:rPr>
          <w:rFonts w:hint="eastAsia" w:ascii="宋体" w:hAnsi="宋体" w:eastAsia="宋体" w:cs="宋体"/>
          <w:color w:val="auto"/>
          <w:szCs w:val="21"/>
          <w:highlight w:val="none"/>
          <w:u w:val="single"/>
        </w:rPr>
        <w:t>主要管理人员（包含但不限于五大员）每月在岗不得少于24天，每日在施工现场工作时间不得少于8小时。离开现场一天内须向监理请假并征得书面同意，离开现场一天以上（含一天）须向发包人请假并征得书面同意</w:t>
      </w:r>
      <w:bookmarkEnd w:id="396"/>
      <w:r>
        <w:rPr>
          <w:rFonts w:hint="eastAsia" w:ascii="宋体" w:hAnsi="宋体" w:eastAsia="宋体" w:cs="宋体"/>
          <w:color w:val="auto"/>
          <w:szCs w:val="21"/>
          <w:highlight w:val="none"/>
        </w:rPr>
        <w:t>。</w:t>
      </w:r>
    </w:p>
    <w:p w14:paraId="292F9DC9">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3.3.5承包人擅自更换主要施工管理人员的违约责任：</w:t>
      </w:r>
      <w:bookmarkStart w:id="397" w:name="EB37539f747b2b45aa8283fd9fb7990478"/>
      <w:r>
        <w:rPr>
          <w:rFonts w:hint="eastAsia" w:ascii="宋体" w:hAnsi="宋体" w:eastAsia="宋体" w:cs="宋体"/>
          <w:color w:val="auto"/>
          <w:szCs w:val="21"/>
          <w:highlight w:val="none"/>
          <w:u w:val="single"/>
        </w:rPr>
        <w:t>应提前7天向发包人和监理人书面报告，承包人擅自更换主要施工管理人员的或者与投标文件不一致的均扣除1万元/人/次违约金，经发包人和监理人书面同意更换主要施工管理人员的扣除5000元/人/次违约金</w:t>
      </w:r>
      <w:bookmarkEnd w:id="397"/>
      <w:r>
        <w:rPr>
          <w:rFonts w:hint="eastAsia" w:ascii="宋体" w:hAnsi="宋体" w:eastAsia="宋体" w:cs="宋体"/>
          <w:color w:val="auto"/>
          <w:szCs w:val="21"/>
          <w:highlight w:val="none"/>
        </w:rPr>
        <w:t>。</w:t>
      </w:r>
    </w:p>
    <w:p w14:paraId="11BEE67A">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承包人主要施工管理人员擅自离开施工现场的违约责任：</w:t>
      </w:r>
      <w:bookmarkStart w:id="398" w:name="EB23d14f3ef71740edbfb5e6fb05e01938"/>
      <w:r>
        <w:rPr>
          <w:rFonts w:hint="eastAsia" w:ascii="宋体" w:hAnsi="宋体" w:eastAsia="宋体" w:cs="宋体"/>
          <w:color w:val="auto"/>
          <w:szCs w:val="21"/>
          <w:highlight w:val="none"/>
          <w:u w:val="single"/>
        </w:rPr>
        <w:t>若无正当理由不在工地现场，且未经发包人和监理人认可，发包人有权扣除2000元/人/次违约金；连续5天或施工期内累计10天不在现场，承包人承担上述违约对发包人造成的一切损失，发包人有权单方解除本施工合同</w:t>
      </w:r>
      <w:bookmarkEnd w:id="398"/>
      <w:r>
        <w:rPr>
          <w:rFonts w:hint="eastAsia" w:ascii="宋体" w:hAnsi="宋体" w:eastAsia="宋体" w:cs="宋体"/>
          <w:color w:val="auto"/>
          <w:szCs w:val="21"/>
          <w:highlight w:val="none"/>
        </w:rPr>
        <w:t>。</w:t>
      </w:r>
    </w:p>
    <w:p w14:paraId="4266836E">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3.5 分包</w:t>
      </w:r>
    </w:p>
    <w:p w14:paraId="43A723FA">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3.5.1 分包的一般约定</w:t>
      </w:r>
    </w:p>
    <w:p w14:paraId="2AA4138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禁止分包的工程包括：</w:t>
      </w:r>
      <w:bookmarkStart w:id="399" w:name="EB96564b48ab694f7c8bec56ad34661eb0"/>
      <w:r>
        <w:rPr>
          <w:rFonts w:hint="eastAsia" w:ascii="宋体" w:hAnsi="宋体" w:eastAsia="宋体" w:cs="宋体"/>
          <w:color w:val="auto"/>
          <w:szCs w:val="21"/>
          <w:highlight w:val="none"/>
          <w:u w:val="single"/>
        </w:rPr>
        <w:t>除合同明确的分包项目外，承包人不得将其承包的全部工程转包给第三人或肢解后以分包名义转给第三人，否则发包人有权解除合同，且不支付合同价款，承包人还应当承担签约合同价5%的违约金，给发包人造成的损失高于违约金的，承包人还应当承担继续赔偿的责任</w:t>
      </w:r>
      <w:bookmarkEnd w:id="399"/>
      <w:r>
        <w:rPr>
          <w:rFonts w:hint="eastAsia" w:ascii="宋体" w:hAnsi="宋体" w:eastAsia="宋体" w:cs="宋体"/>
          <w:color w:val="auto"/>
          <w:szCs w:val="21"/>
          <w:highlight w:val="none"/>
        </w:rPr>
        <w:t>。</w:t>
      </w:r>
    </w:p>
    <w:p w14:paraId="508529DC">
      <w:pPr>
        <w:pageBreakBefore w:val="0"/>
        <w:widowControl w:val="0"/>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主体结构、关键性工作的范围</w:t>
      </w:r>
      <w:bookmarkStart w:id="400" w:name="EBddcddce8724b4ad7a84aeabec9e07558"/>
      <w:bookmarkEnd w:id="400"/>
      <w:r>
        <w:rPr>
          <w:rFonts w:hint="eastAsia" w:ascii="宋体" w:hAnsi="宋体" w:cs="宋体"/>
          <w:color w:val="auto"/>
          <w:szCs w:val="21"/>
          <w:highlight w:val="none"/>
          <w:lang w:eastAsia="zh-CN"/>
        </w:rPr>
        <w:t>：</w:t>
      </w:r>
      <w:r>
        <w:rPr>
          <w:rFonts w:hint="eastAsia" w:ascii="宋体" w:hAnsi="宋体" w:cs="宋体"/>
          <w:color w:val="auto"/>
          <w:szCs w:val="21"/>
          <w:highlight w:val="none"/>
          <w:u w:val="single"/>
          <w:lang w:val="en-US" w:eastAsia="zh-CN"/>
        </w:rPr>
        <w:t xml:space="preserve">   /  </w:t>
      </w:r>
      <w:r>
        <w:rPr>
          <w:rFonts w:hint="eastAsia" w:ascii="宋体" w:hAnsi="宋体" w:eastAsia="宋体" w:cs="宋体"/>
          <w:color w:val="auto"/>
          <w:szCs w:val="21"/>
          <w:highlight w:val="none"/>
        </w:rPr>
        <w:t>。</w:t>
      </w:r>
    </w:p>
    <w:p w14:paraId="6E75E131">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3.5.2分包的确定</w:t>
      </w:r>
    </w:p>
    <w:p w14:paraId="36031F46">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允许分包的专业工程包括：</w:t>
      </w:r>
      <w:bookmarkStart w:id="401" w:name="EB235a9e53098d4a9180c989c3c3dc625f"/>
      <w:r>
        <w:rPr>
          <w:rFonts w:hint="eastAsia" w:ascii="宋体" w:hAnsi="宋体" w:eastAsia="宋体" w:cs="宋体"/>
          <w:color w:val="auto"/>
          <w:szCs w:val="21"/>
          <w:highlight w:val="none"/>
          <w:u w:val="single"/>
        </w:rPr>
        <w:t>劳务及发包人同意的专业分包</w:t>
      </w:r>
      <w:bookmarkEnd w:id="401"/>
      <w:r>
        <w:rPr>
          <w:rFonts w:hint="eastAsia" w:ascii="宋体" w:hAnsi="宋体" w:eastAsia="宋体" w:cs="宋体"/>
          <w:color w:val="auto"/>
          <w:szCs w:val="21"/>
          <w:highlight w:val="none"/>
        </w:rPr>
        <w:t>。</w:t>
      </w:r>
    </w:p>
    <w:p w14:paraId="03A9E9A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其他关于分包的约定：</w:t>
      </w:r>
      <w:bookmarkStart w:id="402" w:name="EB648c05484edf44b987d781bd53acd4d2"/>
      <w:r>
        <w:rPr>
          <w:rFonts w:hint="eastAsia" w:ascii="宋体" w:hAnsi="宋体" w:eastAsia="宋体" w:cs="宋体"/>
          <w:color w:val="auto"/>
          <w:szCs w:val="21"/>
          <w:highlight w:val="none"/>
          <w:u w:val="single"/>
        </w:rPr>
        <w:t>承包人按照合同约定或者经发包人同意，可以将中标项目的部分非主体、非关键性工作分包给他人完成。接受分包的人应当具备相应的资格条件，并不得再次分包。承包人应当就分包项目向发包人负责，接受分包的人就分包项目与承包人向发包人承担连带责任</w:t>
      </w:r>
      <w:bookmarkEnd w:id="402"/>
      <w:r>
        <w:rPr>
          <w:rFonts w:hint="eastAsia" w:ascii="宋体" w:hAnsi="宋体" w:eastAsia="宋体" w:cs="宋体"/>
          <w:color w:val="auto"/>
          <w:szCs w:val="21"/>
          <w:highlight w:val="none"/>
        </w:rPr>
        <w:t>。</w:t>
      </w:r>
    </w:p>
    <w:p w14:paraId="1E33112C">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3.5.4 分包合同价款</w:t>
      </w:r>
    </w:p>
    <w:p w14:paraId="30C93977">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关于分包合同价款支付的约定：</w:t>
      </w:r>
      <w:bookmarkStart w:id="403" w:name="EBa4ba452c72704ccda4781a83be181a74"/>
      <w:r>
        <w:rPr>
          <w:rFonts w:hint="eastAsia" w:ascii="宋体" w:hAnsi="宋体" w:eastAsia="宋体" w:cs="宋体"/>
          <w:color w:val="auto"/>
          <w:szCs w:val="21"/>
          <w:highlight w:val="none"/>
          <w:u w:val="single"/>
        </w:rPr>
        <w:t>由承包人支付</w:t>
      </w:r>
      <w:bookmarkEnd w:id="403"/>
      <w:r>
        <w:rPr>
          <w:rFonts w:hint="eastAsia" w:ascii="宋体" w:hAnsi="宋体" w:eastAsia="宋体" w:cs="宋体"/>
          <w:color w:val="auto"/>
          <w:szCs w:val="21"/>
          <w:highlight w:val="none"/>
        </w:rPr>
        <w:t>。</w:t>
      </w:r>
    </w:p>
    <w:p w14:paraId="4117A646">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3.6 工程照管与成品、半成品保护</w:t>
      </w:r>
    </w:p>
    <w:p w14:paraId="1B609CD9">
      <w:pPr>
        <w:pageBreakBefore w:val="0"/>
        <w:widowControl w:val="0"/>
        <w:spacing w:before="120" w:after="120"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承包人负责照管工程及工程相关的材料、工程设备的起始时间</w:t>
      </w:r>
      <w:r>
        <w:rPr>
          <w:rFonts w:hint="eastAsia" w:ascii="宋体" w:hAnsi="宋体" w:eastAsia="宋体" w:cs="宋体"/>
          <w:color w:val="auto"/>
          <w:szCs w:val="21"/>
          <w:highlight w:val="none"/>
          <w:u w:val="single"/>
        </w:rPr>
        <w:t>：</w:t>
      </w:r>
      <w:bookmarkStart w:id="404" w:name="EBdd165c1919464cd0b5aa882bfe482a50"/>
      <w:r>
        <w:rPr>
          <w:rFonts w:hint="eastAsia" w:ascii="宋体" w:hAnsi="宋体" w:eastAsia="宋体" w:cs="宋体"/>
          <w:color w:val="auto"/>
          <w:szCs w:val="21"/>
          <w:highlight w:val="none"/>
          <w:u w:val="single"/>
        </w:rPr>
        <w:t>在工程未交付使用前，已完工程成品保护由承包人负责保护，在保护期间若发生损坏由承包人自费予以修复。除发包人或发包人代表有书面意见指示承包人采取特殊措施保护的工程部位费用属于发包人，其他对未交付的已完工程，承包人应承担管理费用</w:t>
      </w:r>
      <w:bookmarkEnd w:id="404"/>
      <w:r>
        <w:rPr>
          <w:rFonts w:hint="eastAsia" w:ascii="宋体" w:hAnsi="宋体" w:eastAsia="宋体" w:cs="宋体"/>
          <w:color w:val="auto"/>
          <w:szCs w:val="21"/>
          <w:highlight w:val="none"/>
        </w:rPr>
        <w:t>。</w:t>
      </w:r>
    </w:p>
    <w:p w14:paraId="6A823CC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3.7 履约担保</w:t>
      </w:r>
    </w:p>
    <w:p w14:paraId="04485BA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承包人是否提供履约担保：</w:t>
      </w:r>
      <w:r>
        <w:rPr>
          <w:rFonts w:hint="eastAsia" w:ascii="宋体" w:hAnsi="宋体" w:cs="宋体"/>
          <w:color w:val="auto"/>
          <w:szCs w:val="21"/>
          <w:highlight w:val="none"/>
          <w:u w:val="single"/>
          <w:lang w:eastAsia="zh-CN"/>
        </w:rPr>
        <w:t>是</w:t>
      </w:r>
      <w:r>
        <w:rPr>
          <w:rFonts w:hint="eastAsia" w:ascii="宋体" w:hAnsi="宋体" w:eastAsia="宋体" w:cs="宋体"/>
          <w:color w:val="auto"/>
          <w:szCs w:val="21"/>
          <w:highlight w:val="none"/>
        </w:rPr>
        <w:t>。</w:t>
      </w:r>
    </w:p>
    <w:p w14:paraId="4E1CE58E">
      <w:pPr>
        <w:pageBreakBefore w:val="0"/>
        <w:widowControl w:val="0"/>
        <w:spacing w:line="400" w:lineRule="exact"/>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承包人提供履约担保的形式、金额及期限的履约担保的形式：</w:t>
      </w:r>
      <w:r>
        <w:rPr>
          <w:rFonts w:hint="eastAsia" w:ascii="宋体" w:hAnsi="宋体" w:eastAsia="宋体" w:cs="宋体"/>
          <w:color w:val="auto"/>
          <w:szCs w:val="21"/>
          <w:highlight w:val="none"/>
          <w:u w:val="single"/>
          <w:lang w:eastAsia="zh-CN"/>
        </w:rPr>
        <w:t>可以支票、汇票、本票、保函、保险保单等非现金形式缴纳或提交</w:t>
      </w:r>
      <w:r>
        <w:rPr>
          <w:rFonts w:hint="eastAsia" w:ascii="宋体" w:hAnsi="宋体" w:eastAsia="宋体" w:cs="宋体"/>
          <w:color w:val="auto"/>
          <w:szCs w:val="21"/>
          <w:highlight w:val="none"/>
          <w:lang w:eastAsia="zh-CN"/>
        </w:rPr>
        <w:t>；</w:t>
      </w:r>
    </w:p>
    <w:p w14:paraId="06547783">
      <w:pPr>
        <w:pageBreakBefore w:val="0"/>
        <w:widowControl w:val="0"/>
        <w:spacing w:line="400" w:lineRule="exact"/>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金额：</w:t>
      </w:r>
      <w:r>
        <w:rPr>
          <w:rFonts w:hint="eastAsia" w:ascii="宋体" w:hAnsi="宋体" w:eastAsia="宋体" w:cs="宋体"/>
          <w:color w:val="auto"/>
          <w:szCs w:val="21"/>
          <w:highlight w:val="none"/>
          <w:u w:val="single"/>
          <w:lang w:eastAsia="zh-CN"/>
        </w:rPr>
        <w:t>合同金额的10%</w:t>
      </w:r>
      <w:r>
        <w:rPr>
          <w:rFonts w:hint="eastAsia" w:ascii="宋体" w:hAnsi="宋体" w:eastAsia="宋体" w:cs="宋体"/>
          <w:color w:val="auto"/>
          <w:szCs w:val="21"/>
          <w:highlight w:val="none"/>
          <w:lang w:eastAsia="zh-CN"/>
        </w:rPr>
        <w:t>；</w:t>
      </w:r>
    </w:p>
    <w:p w14:paraId="5BCB03A5">
      <w:pPr>
        <w:pageBreakBefore w:val="0"/>
        <w:widowControl w:val="0"/>
        <w:spacing w:line="400" w:lineRule="exact"/>
        <w:ind w:firstLine="420"/>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lang w:eastAsia="zh-CN"/>
        </w:rPr>
        <w:t>期限：</w:t>
      </w:r>
      <w:r>
        <w:rPr>
          <w:rFonts w:hint="eastAsia" w:ascii="宋体" w:hAnsi="宋体" w:eastAsia="宋体" w:cs="宋体"/>
          <w:color w:val="auto"/>
          <w:szCs w:val="21"/>
          <w:highlight w:val="none"/>
          <w:u w:val="single"/>
          <w:lang w:eastAsia="zh-CN"/>
        </w:rPr>
        <w:t>承包人应当在签订工程施工合同前向发包人提供，工程竣工验收合格后无息退还；</w:t>
      </w:r>
    </w:p>
    <w:p w14:paraId="289AF498">
      <w:pPr>
        <w:pageBreakBefore w:val="0"/>
        <w:widowControl w:val="0"/>
        <w:spacing w:line="400" w:lineRule="exact"/>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u w:val="single"/>
          <w:lang w:eastAsia="zh-CN"/>
        </w:rPr>
        <w:t>如中标供应商不履行合同，履约保证金不予退还；如果乙方未能按合同约定全面履行义务，那么甲方有权从履约保证金中取得补偿或赔偿，如给招标人造成的损失超过投标保证金数额的，承包人还应当对超过部分予以赔偿责任及费用</w:t>
      </w:r>
      <w:r>
        <w:rPr>
          <w:rFonts w:hint="eastAsia" w:ascii="宋体" w:hAnsi="宋体" w:eastAsia="宋体" w:cs="宋体"/>
          <w:color w:val="auto"/>
          <w:szCs w:val="21"/>
          <w:highlight w:val="none"/>
          <w:lang w:eastAsia="zh-CN"/>
        </w:rPr>
        <w:t>。</w:t>
      </w:r>
    </w:p>
    <w:p w14:paraId="4DA7B573">
      <w:pPr>
        <w:pageBreakBefore w:val="0"/>
        <w:widowControl w:val="0"/>
        <w:spacing w:line="400" w:lineRule="exact"/>
        <w:ind w:firstLine="420"/>
        <w:rPr>
          <w:rFonts w:hint="eastAsia" w:ascii="宋体" w:hAnsi="宋体" w:eastAsia="宋体" w:cs="宋体"/>
          <w:b w:val="0"/>
          <w:color w:val="auto"/>
          <w:sz w:val="21"/>
          <w:szCs w:val="21"/>
          <w:highlight w:val="none"/>
        </w:rPr>
      </w:pPr>
      <w:r>
        <w:rPr>
          <w:rFonts w:hint="eastAsia" w:ascii="宋体" w:hAnsi="宋体" w:eastAsia="宋体" w:cs="宋体"/>
          <w:color w:val="auto"/>
          <w:szCs w:val="21"/>
          <w:highlight w:val="none"/>
        </w:rPr>
        <w:t>4. 监理</w:t>
      </w:r>
      <w:r>
        <w:rPr>
          <w:rFonts w:hint="eastAsia" w:ascii="宋体" w:hAnsi="宋体" w:eastAsia="宋体" w:cs="宋体"/>
          <w:b w:val="0"/>
          <w:color w:val="auto"/>
          <w:sz w:val="21"/>
          <w:szCs w:val="21"/>
          <w:highlight w:val="none"/>
        </w:rPr>
        <w:t>人</w:t>
      </w:r>
    </w:p>
    <w:p w14:paraId="49A151E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4.1监理人的一般规定</w:t>
      </w:r>
    </w:p>
    <w:p w14:paraId="55AF6C9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关于监理人的监理内容</w:t>
      </w:r>
      <w:bookmarkStart w:id="405" w:name="EB80dcb35eba424728a3877b3155374a38"/>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u w:val="single"/>
        </w:rPr>
        <w:t>工程施工及保修阶段全过程的监理咨询服务</w:t>
      </w:r>
      <w:bookmarkEnd w:id="405"/>
      <w:r>
        <w:rPr>
          <w:rFonts w:hint="eastAsia" w:ascii="宋体" w:hAnsi="宋体" w:eastAsia="宋体" w:cs="宋体"/>
          <w:color w:val="auto"/>
          <w:szCs w:val="21"/>
          <w:highlight w:val="none"/>
          <w:u w:val="single"/>
        </w:rPr>
        <w:t>。</w:t>
      </w:r>
    </w:p>
    <w:p w14:paraId="4BE5E74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关于监理人的监理权限</w:t>
      </w:r>
    </w:p>
    <w:p w14:paraId="575306FA">
      <w:pPr>
        <w:pageBreakBefore w:val="0"/>
        <w:widowControl w:val="0"/>
        <w:spacing w:line="400" w:lineRule="exact"/>
        <w:ind w:firstLine="420"/>
        <w:rPr>
          <w:rFonts w:hint="eastAsia" w:ascii="宋体" w:hAnsi="宋体" w:eastAsia="宋体" w:cs="宋体"/>
          <w:color w:val="auto"/>
          <w:szCs w:val="21"/>
          <w:highlight w:val="none"/>
          <w:u w:val="single"/>
        </w:rPr>
      </w:pPr>
      <w:bookmarkStart w:id="406" w:name="EBc88039e858954015add2305399752bca"/>
      <w:r>
        <w:rPr>
          <w:rFonts w:hint="eastAsia" w:ascii="宋体" w:hAnsi="宋体" w:eastAsia="宋体" w:cs="宋体"/>
          <w:color w:val="auto"/>
          <w:szCs w:val="21"/>
          <w:highlight w:val="none"/>
          <w:u w:val="single"/>
        </w:rPr>
        <w:t>（1）收到工程设计文件后编制监理规划，并在第一次工地会议</w:t>
      </w:r>
      <w:r>
        <w:rPr>
          <w:rFonts w:hint="eastAsia" w:ascii="宋体" w:hAnsi="宋体" w:cs="宋体"/>
          <w:color w:val="auto"/>
          <w:szCs w:val="21"/>
          <w:highlight w:val="none"/>
          <w:u w:val="single"/>
          <w:lang w:val="en-US" w:eastAsia="zh-CN"/>
        </w:rPr>
        <w:t>5</w:t>
      </w:r>
      <w:r>
        <w:rPr>
          <w:rFonts w:hint="eastAsia" w:ascii="宋体" w:hAnsi="宋体" w:eastAsia="宋体" w:cs="宋体"/>
          <w:color w:val="auto"/>
          <w:szCs w:val="21"/>
          <w:highlight w:val="none"/>
          <w:u w:val="single"/>
        </w:rPr>
        <w:t>天前报发包人。根据有关规定和监理工作需要，编制监理实施细则；</w:t>
      </w:r>
    </w:p>
    <w:p w14:paraId="5417519A">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（2）熟悉工程设计文件，并参加由委托人主持的图纸会审和设计交底会议；</w:t>
      </w:r>
    </w:p>
    <w:p w14:paraId="554F8A3E">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（3）参加由委托人主持的第一次工地会议；主持监理例会并根据工程需要主持或参加专题会议；</w:t>
      </w:r>
    </w:p>
    <w:p w14:paraId="102898FC">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（4）审查承包人提交的施工组织设计，重点审查其中的质量安全技术措施、专项施工方案与工程建设强制性标准的符合性；</w:t>
      </w:r>
    </w:p>
    <w:p w14:paraId="34BF04D8">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（5）检查承包人工程质量、安全生产管理制度及组织机构和人员资格；</w:t>
      </w:r>
    </w:p>
    <w:p w14:paraId="79B4D5A1">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（6）检查承包人专职安全生产管理人员的配备情况；</w:t>
      </w:r>
    </w:p>
    <w:p w14:paraId="322B8EA9">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（7）审查承包人提交的施工进度计划，核查承包人对施工进度计划的调整；</w:t>
      </w:r>
    </w:p>
    <w:p w14:paraId="4B439769">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（8）检查承包人的试验室；</w:t>
      </w:r>
    </w:p>
    <w:p w14:paraId="3F5E1819">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（9）审核分包人资质条件；</w:t>
      </w:r>
    </w:p>
    <w:p w14:paraId="54B48D9C">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（10）查验承包人的施工测量放线成果；</w:t>
      </w:r>
    </w:p>
    <w:p w14:paraId="1FD92A49">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（11）审查工程开工条件，对条件具备的签发开工令；</w:t>
      </w:r>
    </w:p>
    <w:p w14:paraId="1393A249">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（12）审查承包人报送的工程材料、构配件、设备质量证明文件的有效性和符合性，并按规定对用于工程的材料采取平行检验或见证取样方式进行抽检；</w:t>
      </w:r>
    </w:p>
    <w:p w14:paraId="0765ECD4">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（13）审查承包人提交的工程款支付申请，并报委托人审核、批准；</w:t>
      </w:r>
    </w:p>
    <w:p w14:paraId="1871E021">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（14）在巡视、旁站和检验过程中，发现工程质量、施工安全存在事故隐患的，要求承包人整改并报委托人；</w:t>
      </w:r>
    </w:p>
    <w:p w14:paraId="2DA2BB68">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（15）经委托人同意，签发工程暂停令和复工令；</w:t>
      </w:r>
    </w:p>
    <w:p w14:paraId="16C15E59">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（16）审查承包人提交的采用新材料、新工艺、新技术、新设备的论证材料及相关验收标准；</w:t>
      </w:r>
    </w:p>
    <w:p w14:paraId="022DC3B5">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（17）验收隐蔽工程、分部分项工程；</w:t>
      </w:r>
    </w:p>
    <w:p w14:paraId="13C2BD3B">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（18）审查承包人提交的工程变更申请，协调处理施工进度调整、费用索赔、合同争议等事项；</w:t>
      </w:r>
    </w:p>
    <w:p w14:paraId="7B35DE88">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（19）审查承包人提交的竣工验收申请，编写工程质量评估报告；</w:t>
      </w:r>
    </w:p>
    <w:p w14:paraId="0E426368">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（20）参加工程竣工验收，签署竣工验收意见；</w:t>
      </w:r>
    </w:p>
    <w:p w14:paraId="3C49AF0F">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（21）审查承包人提交的竣工结算申请并报委托人；</w:t>
      </w:r>
    </w:p>
    <w:p w14:paraId="75598CB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（22）编制、整理工程监理归档文件并报委托人</w:t>
      </w:r>
      <w:bookmarkEnd w:id="406"/>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 xml:space="preserve"> </w:t>
      </w:r>
    </w:p>
    <w:p w14:paraId="32A79D46">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关于监理人在施工现场的办公场所、生活场所的提供和费用承担的约定</w:t>
      </w:r>
      <w:bookmarkStart w:id="407" w:name="EBf6d642cc6bcf40bea7438968b4a4c949"/>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u w:val="single"/>
        </w:rPr>
        <w:t>由监理人自行承担</w:t>
      </w:r>
      <w:bookmarkEnd w:id="407"/>
      <w:r>
        <w:rPr>
          <w:rFonts w:hint="eastAsia" w:ascii="宋体" w:hAnsi="宋体" w:eastAsia="宋体" w:cs="宋体"/>
          <w:color w:val="auto"/>
          <w:szCs w:val="21"/>
          <w:highlight w:val="none"/>
        </w:rPr>
        <w:t>。</w:t>
      </w:r>
    </w:p>
    <w:p w14:paraId="2F74E6D9">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4.2 监理人员</w:t>
      </w:r>
    </w:p>
    <w:p w14:paraId="186DDA5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总监理工程师：</w:t>
      </w:r>
    </w:p>
    <w:p w14:paraId="7CDE11E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bookmarkStart w:id="408" w:name="EB3d72000623354a08a31ae2da120a50c4"/>
      <w:bookmarkEnd w:id="408"/>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4C2EFBF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bookmarkStart w:id="409" w:name="EB801565143b6f495484fc10288fce1629"/>
      <w:bookmarkEnd w:id="409"/>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03515203">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监理工程师执业资格证书号：</w:t>
      </w:r>
      <w:bookmarkStart w:id="410" w:name="EB4bbb437b47dd4a5ebb682f85ee576820"/>
      <w:bookmarkEnd w:id="410"/>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40DCF07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bookmarkStart w:id="411" w:name="EBebedad41c0a74a489924310ddf39653d"/>
      <w:bookmarkEnd w:id="411"/>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296E922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bookmarkStart w:id="412" w:name="EBef4d281b43854417abf6b139d77e998d"/>
      <w:bookmarkEnd w:id="412"/>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7B8DC15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bookmarkStart w:id="413" w:name="EB338bb639291745db8cf5ae7e7bd52445"/>
      <w:bookmarkEnd w:id="413"/>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0CB9B93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关于监理人的其他约定：</w:t>
      </w:r>
      <w:bookmarkStart w:id="414" w:name="EB05ba2c140bbe4509beaa2a207568453a"/>
      <w:r>
        <w:rPr>
          <w:rFonts w:hint="eastAsia" w:ascii="宋体" w:hAnsi="宋体" w:eastAsia="宋体" w:cs="宋体"/>
          <w:color w:val="auto"/>
          <w:szCs w:val="21"/>
          <w:highlight w:val="none"/>
          <w:u w:val="single"/>
        </w:rPr>
        <w:t>执行本工程监理合同</w:t>
      </w:r>
      <w:bookmarkEnd w:id="414"/>
      <w:r>
        <w:rPr>
          <w:rFonts w:hint="eastAsia" w:ascii="宋体" w:hAnsi="宋体" w:eastAsia="宋体" w:cs="宋体"/>
          <w:color w:val="auto"/>
          <w:szCs w:val="21"/>
          <w:highlight w:val="none"/>
        </w:rPr>
        <w:t>。</w:t>
      </w:r>
    </w:p>
    <w:p w14:paraId="4594EBA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4.4 商定或确定</w:t>
      </w:r>
    </w:p>
    <w:p w14:paraId="08909C49">
      <w:pPr>
        <w:pageBreakBefore w:val="0"/>
        <w:widowControl w:val="0"/>
        <w:spacing w:line="40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在发包人和承包人不能通过协商达成一致意见时，发包人授权监理人对以下事项进行确定：</w:t>
      </w:r>
      <w:r>
        <w:rPr>
          <w:rFonts w:hint="eastAsia" w:ascii="宋体" w:hAnsi="宋体" w:cs="宋体"/>
          <w:color w:val="auto"/>
          <w:szCs w:val="21"/>
          <w:highlight w:val="none"/>
          <w:u w:val="single"/>
          <w:lang w:val="en-US" w:eastAsia="zh-CN"/>
        </w:rPr>
        <w:t>/</w:t>
      </w:r>
    </w:p>
    <w:p w14:paraId="34B8BE41">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 工程质量</w:t>
      </w:r>
    </w:p>
    <w:p w14:paraId="2A55315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5.1 质量要求</w:t>
      </w:r>
    </w:p>
    <w:p w14:paraId="527FAEB1">
      <w:pPr>
        <w:keepNext w:val="0"/>
        <w:keepLines w:val="0"/>
        <w:pageBreakBefore w:val="0"/>
        <w:widowControl w:val="0"/>
        <w:spacing w:line="400" w:lineRule="exact"/>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5.1.1 特殊质量标准和要求：</w:t>
      </w:r>
      <w:bookmarkStart w:id="415" w:name="EBab7a53bd7d2f4416a1498132d95e9cbd"/>
      <w:r>
        <w:rPr>
          <w:rFonts w:hint="eastAsia" w:ascii="宋体" w:hAnsi="宋体" w:eastAsia="宋体" w:cs="宋体"/>
          <w:color w:val="auto"/>
          <w:szCs w:val="21"/>
          <w:highlight w:val="none"/>
          <w:u w:val="single"/>
        </w:rPr>
        <w:t>符合国家现行有关工程施工质量验收规范和标准的要求，达到合格标准</w:t>
      </w:r>
      <w:bookmarkEnd w:id="415"/>
      <w:r>
        <w:rPr>
          <w:rFonts w:hint="eastAsia" w:ascii="宋体" w:hAnsi="宋体" w:eastAsia="宋体" w:cs="宋体"/>
          <w:color w:val="auto"/>
          <w:szCs w:val="21"/>
          <w:highlight w:val="none"/>
        </w:rPr>
        <w:t>。</w:t>
      </w:r>
    </w:p>
    <w:p w14:paraId="302782E9">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关于工程奖项的约定：</w:t>
      </w:r>
      <w:bookmarkStart w:id="416" w:name="EB635f7c5b084240c181534c61640b47e7"/>
      <w:r>
        <w:rPr>
          <w:rFonts w:hint="eastAsia" w:ascii="宋体" w:hAnsi="宋体" w:eastAsia="宋体" w:cs="宋体"/>
          <w:color w:val="auto"/>
          <w:szCs w:val="21"/>
          <w:highlight w:val="none"/>
          <w:u w:val="single"/>
        </w:rPr>
        <w:t>合同约定不做工程获奖目标等级要求，如本项目承包人申请获奖并取得奖项，发包人不支付优质工程增加费，产生的相关费用均由承包人自行承担</w:t>
      </w:r>
      <w:bookmarkEnd w:id="416"/>
      <w:r>
        <w:rPr>
          <w:rFonts w:hint="eastAsia" w:ascii="宋体" w:hAnsi="宋体" w:eastAsia="宋体" w:cs="宋体"/>
          <w:color w:val="auto"/>
          <w:szCs w:val="21"/>
          <w:highlight w:val="none"/>
        </w:rPr>
        <w:t>。</w:t>
      </w:r>
    </w:p>
    <w:p w14:paraId="5AFA66F4">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5.3 隐蔽工程检查</w:t>
      </w:r>
    </w:p>
    <w:p w14:paraId="3429E1C4">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5.3.2承包人提前通知监理人隐蔽工程检查的期限的约定：</w:t>
      </w:r>
      <w:bookmarkStart w:id="417" w:name="EB1aa61166ec044fa5a8109ac5aaab919e"/>
      <w:r>
        <w:rPr>
          <w:rFonts w:hint="eastAsia" w:ascii="宋体" w:hAnsi="宋体" w:eastAsia="宋体" w:cs="宋体"/>
          <w:color w:val="auto"/>
          <w:szCs w:val="21"/>
          <w:highlight w:val="none"/>
          <w:u w:val="single"/>
        </w:rPr>
        <w:t>共同检查前48小时书面通知监理人</w:t>
      </w:r>
      <w:bookmarkEnd w:id="417"/>
      <w:r>
        <w:rPr>
          <w:rFonts w:hint="eastAsia" w:ascii="宋体" w:hAnsi="宋体" w:eastAsia="宋体" w:cs="宋体"/>
          <w:color w:val="auto"/>
          <w:szCs w:val="21"/>
          <w:highlight w:val="none"/>
        </w:rPr>
        <w:t>。</w:t>
      </w:r>
    </w:p>
    <w:p w14:paraId="598C41C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监理人不能按时进行检查时，应提前</w:t>
      </w:r>
      <w:bookmarkStart w:id="418" w:name="EB12a4f0fa1d324833b65530d60384a028"/>
      <w:r>
        <w:rPr>
          <w:rFonts w:hint="eastAsia" w:ascii="宋体" w:hAnsi="宋体" w:eastAsia="宋体" w:cs="宋体"/>
          <w:color w:val="auto"/>
          <w:szCs w:val="21"/>
          <w:highlight w:val="none"/>
          <w:u w:val="single"/>
        </w:rPr>
        <w:t>24</w:t>
      </w:r>
      <w:bookmarkEnd w:id="418"/>
      <w:r>
        <w:rPr>
          <w:rFonts w:hint="eastAsia" w:ascii="宋体" w:hAnsi="宋体" w:eastAsia="宋体" w:cs="宋体"/>
          <w:color w:val="auto"/>
          <w:szCs w:val="21"/>
          <w:highlight w:val="none"/>
        </w:rPr>
        <w:t>小时提交书面延期要求。</w:t>
      </w:r>
    </w:p>
    <w:p w14:paraId="750EED9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关于延期最长不得超过：</w:t>
      </w:r>
      <w:bookmarkStart w:id="419" w:name="EB5b8c7675c75f4330a9be2b9b7213d6c2"/>
      <w:r>
        <w:rPr>
          <w:rFonts w:hint="eastAsia" w:ascii="宋体" w:hAnsi="宋体" w:eastAsia="宋体" w:cs="宋体"/>
          <w:color w:val="auto"/>
          <w:szCs w:val="21"/>
          <w:highlight w:val="none"/>
          <w:u w:val="single"/>
        </w:rPr>
        <w:t>48</w:t>
      </w:r>
      <w:bookmarkEnd w:id="419"/>
      <w:r>
        <w:rPr>
          <w:rFonts w:hint="eastAsia" w:ascii="宋体" w:hAnsi="宋体" w:eastAsia="宋体" w:cs="宋体"/>
          <w:color w:val="auto"/>
          <w:szCs w:val="21"/>
          <w:highlight w:val="none"/>
        </w:rPr>
        <w:t>小时。</w:t>
      </w:r>
    </w:p>
    <w:p w14:paraId="69729141">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 安全文明施工与环境保护</w:t>
      </w:r>
    </w:p>
    <w:p w14:paraId="0507FB5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6.1安全文明施工</w:t>
      </w:r>
    </w:p>
    <w:p w14:paraId="2417534C">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 项目安全生产的达标目标及相应事项的约定：</w:t>
      </w:r>
      <w:bookmarkStart w:id="420" w:name="EB6e67bc6c1b0941b7ad85815e60a85933"/>
      <w:r>
        <w:rPr>
          <w:rFonts w:hint="eastAsia" w:ascii="宋体" w:hAnsi="宋体" w:eastAsia="宋体" w:cs="宋体"/>
          <w:color w:val="auto"/>
          <w:szCs w:val="21"/>
          <w:highlight w:val="none"/>
          <w:u w:val="single"/>
        </w:rPr>
        <w:t>除执行通用条款外6.1.1，本工程严禁发生任何安全生产事故，若发生事故由承包人承担责任及费用，如发生人员伤亡事故或重大安全事故处导致人员重伤扣除工程款5万元/次/人，导致人员死亡扣除工程款10万元/次/人</w:t>
      </w:r>
      <w:bookmarkEnd w:id="420"/>
      <w:r>
        <w:rPr>
          <w:rFonts w:hint="eastAsia" w:ascii="宋体" w:hAnsi="宋体" w:eastAsia="宋体" w:cs="宋体"/>
          <w:color w:val="auto"/>
          <w:szCs w:val="21"/>
          <w:highlight w:val="none"/>
        </w:rPr>
        <w:t>。</w:t>
      </w:r>
    </w:p>
    <w:p w14:paraId="33D26ADB">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6.1.4 关于治安保卫的特别约定：</w:t>
      </w:r>
    </w:p>
    <w:p w14:paraId="6914CFA8">
      <w:pPr>
        <w:keepNext w:val="0"/>
        <w:keepLines w:val="0"/>
        <w:pageBreakBefore w:val="0"/>
        <w:widowControl w:val="0"/>
        <w:spacing w:line="400" w:lineRule="exact"/>
        <w:ind w:firstLine="420"/>
        <w:rPr>
          <w:rFonts w:hint="eastAsia" w:ascii="宋体" w:hAnsi="宋体" w:eastAsia="宋体" w:cs="宋体"/>
          <w:color w:val="auto"/>
          <w:szCs w:val="21"/>
          <w:highlight w:val="none"/>
          <w:u w:val="single"/>
        </w:rPr>
      </w:pPr>
      <w:bookmarkStart w:id="421" w:name="EB507c3441b4fd495fbe84449ddcef625a"/>
      <w:r>
        <w:rPr>
          <w:rFonts w:hint="eastAsia" w:ascii="宋体" w:hAnsi="宋体" w:eastAsia="宋体" w:cs="宋体"/>
          <w:color w:val="auto"/>
          <w:szCs w:val="21"/>
          <w:highlight w:val="none"/>
          <w:u w:val="single"/>
        </w:rPr>
        <w:t>1、现场有明显的围护、护栏、安全施工标牌、标语、警示灯，安全警示标志必须符合国家标准；</w:t>
      </w:r>
    </w:p>
    <w:p w14:paraId="0E7E7555">
      <w:pPr>
        <w:keepNext w:val="0"/>
        <w:keepLines w:val="0"/>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2、承包人管理、施工人员必须配置安全帽、明显的安全标志等；</w:t>
      </w:r>
    </w:p>
    <w:p w14:paraId="40C75C34">
      <w:pPr>
        <w:keepNext w:val="0"/>
        <w:keepLines w:val="0"/>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3、现场有专门的保卫和值班人员，并坚持昼夜巡视；</w:t>
      </w:r>
    </w:p>
    <w:p w14:paraId="44CE534A">
      <w:pPr>
        <w:keepNext w:val="0"/>
        <w:keepLines w:val="0"/>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4、如发生安全事故，责任一概由承包人承担</w:t>
      </w:r>
      <w:bookmarkEnd w:id="421"/>
      <w:r>
        <w:rPr>
          <w:rFonts w:hint="eastAsia" w:ascii="宋体" w:hAnsi="宋体" w:eastAsia="宋体" w:cs="宋体"/>
          <w:color w:val="auto"/>
          <w:szCs w:val="21"/>
          <w:highlight w:val="none"/>
          <w:u w:val="single"/>
        </w:rPr>
        <w:t>。</w:t>
      </w:r>
    </w:p>
    <w:p w14:paraId="6727CD4B">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关于编制施工场地治安管理计划的约定：</w:t>
      </w:r>
      <w:bookmarkStart w:id="422" w:name="EB4317f825c212487985149f85449e4373"/>
      <w:r>
        <w:rPr>
          <w:rFonts w:hint="eastAsia" w:ascii="宋体" w:hAnsi="宋体" w:eastAsia="宋体" w:cs="宋体"/>
          <w:color w:val="auto"/>
          <w:szCs w:val="21"/>
          <w:highlight w:val="none"/>
          <w:u w:val="single"/>
        </w:rPr>
        <w:t>开工前提供施工场地治安管理计划</w:t>
      </w:r>
      <w:bookmarkEnd w:id="422"/>
      <w:r>
        <w:rPr>
          <w:rFonts w:hint="eastAsia" w:ascii="宋体" w:hAnsi="宋体" w:eastAsia="宋体" w:cs="宋体"/>
          <w:color w:val="auto"/>
          <w:szCs w:val="21"/>
          <w:highlight w:val="none"/>
        </w:rPr>
        <w:t>。</w:t>
      </w:r>
    </w:p>
    <w:p w14:paraId="147876BD">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6.1.5 文明施工</w:t>
      </w:r>
    </w:p>
    <w:p w14:paraId="10AF9A1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合同当事人对文明施工的要求：</w:t>
      </w:r>
      <w:bookmarkStart w:id="423" w:name="EB3d73b8b4a32d4c4d9fbfb7a1a0825051"/>
      <w:r>
        <w:rPr>
          <w:rFonts w:hint="eastAsia" w:ascii="宋体" w:hAnsi="宋体" w:eastAsia="宋体" w:cs="宋体"/>
          <w:color w:val="auto"/>
          <w:szCs w:val="21"/>
          <w:highlight w:val="none"/>
          <w:u w:val="single"/>
        </w:rPr>
        <w:t>达到《建筑施工安全检查标准》及当地相关标准并遵守发包人内部管理规定</w:t>
      </w:r>
      <w:bookmarkEnd w:id="423"/>
      <w:r>
        <w:rPr>
          <w:rFonts w:hint="eastAsia" w:ascii="宋体" w:hAnsi="宋体" w:eastAsia="宋体" w:cs="宋体"/>
          <w:color w:val="auto"/>
          <w:szCs w:val="21"/>
          <w:highlight w:val="none"/>
        </w:rPr>
        <w:t>。</w:t>
      </w:r>
    </w:p>
    <w:p w14:paraId="7CAEF79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6.1.6 关于安全文明施工费支付比例和支付期限的约定：</w:t>
      </w:r>
      <w:r>
        <w:rPr>
          <w:rFonts w:hint="eastAsia" w:ascii="宋体" w:hAnsi="宋体" w:eastAsia="宋体" w:cs="宋体"/>
          <w:color w:val="auto"/>
          <w:szCs w:val="21"/>
          <w:highlight w:val="none"/>
          <w:u w:val="single"/>
        </w:rPr>
        <w:t>随工程款按工程量清单计价程序以中标费率支付</w:t>
      </w:r>
      <w:r>
        <w:rPr>
          <w:rFonts w:hint="eastAsia" w:ascii="宋体" w:hAnsi="宋体" w:eastAsia="宋体" w:cs="宋体"/>
          <w:color w:val="auto"/>
          <w:szCs w:val="21"/>
          <w:highlight w:val="none"/>
        </w:rPr>
        <w:t>。</w:t>
      </w:r>
    </w:p>
    <w:p w14:paraId="7C4A8B70">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7. 工期和进度</w:t>
      </w:r>
    </w:p>
    <w:p w14:paraId="3ECDB90D">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施工组织设计</w:t>
      </w:r>
    </w:p>
    <w:p w14:paraId="4258AB9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7.1.1 合同当事人约定的施工组织设计应包括的其他内容：</w:t>
      </w:r>
      <w:bookmarkStart w:id="424" w:name="EB11bbfed44473470f942908c4c51e081f"/>
      <w:r>
        <w:rPr>
          <w:rFonts w:hint="eastAsia" w:ascii="宋体" w:hAnsi="宋体" w:eastAsia="宋体" w:cs="宋体"/>
          <w:color w:val="auto"/>
          <w:szCs w:val="21"/>
          <w:highlight w:val="none"/>
          <w:u w:val="single"/>
        </w:rPr>
        <w:t>按招标文件约定，招标文件无约定的按通用条款或双方另行约定</w:t>
      </w:r>
      <w:bookmarkEnd w:id="424"/>
      <w:r>
        <w:rPr>
          <w:rFonts w:hint="eastAsia" w:ascii="宋体" w:hAnsi="宋体" w:eastAsia="宋体" w:cs="宋体"/>
          <w:color w:val="auto"/>
          <w:szCs w:val="21"/>
          <w:highlight w:val="none"/>
        </w:rPr>
        <w:t>。</w:t>
      </w:r>
    </w:p>
    <w:p w14:paraId="2A7CEC18">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7.1.2 施工组织设计的提交和修改</w:t>
      </w:r>
    </w:p>
    <w:p w14:paraId="30E17DB5">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承包人提交详细施工组织设计的期限的约定：</w:t>
      </w:r>
      <w:bookmarkStart w:id="425" w:name="EBffddc3420bae4e12964a9fe235b8a442"/>
      <w:r>
        <w:rPr>
          <w:rFonts w:hint="eastAsia" w:ascii="宋体" w:hAnsi="宋体" w:eastAsia="宋体" w:cs="宋体"/>
          <w:color w:val="auto"/>
          <w:szCs w:val="21"/>
          <w:highlight w:val="none"/>
          <w:u w:val="single"/>
        </w:rPr>
        <w:t>承包人在发包人规定时间内提供本工程实施性施工组织设计和工程总进度计划。每周向监理和发包人提供下周进度计划。每周的工程实际进度与经确认的进度计划不符时，必须以书面形式上报监理、发包人，并按发包人的要求提出改进措施，经发包人确认同意后执行。因承包人的原因导致实际进度与进度计划不符，承包人无权就改进措施提出追加合同价款</w:t>
      </w:r>
      <w:bookmarkEnd w:id="425"/>
      <w:r>
        <w:rPr>
          <w:rFonts w:hint="eastAsia" w:ascii="宋体" w:hAnsi="宋体" w:eastAsia="宋体" w:cs="宋体"/>
          <w:color w:val="auto"/>
          <w:szCs w:val="21"/>
          <w:highlight w:val="none"/>
        </w:rPr>
        <w:t>。</w:t>
      </w:r>
    </w:p>
    <w:p w14:paraId="32FBE1BF">
      <w:pPr>
        <w:pageBreakBefore w:val="0"/>
        <w:widowControl w:val="0"/>
        <w:spacing w:line="400" w:lineRule="exact"/>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发包人和监理人在收到详细的施工组织设计后确认或提出修改意见的期限：</w:t>
      </w:r>
      <w:bookmarkStart w:id="426" w:name="EB9f5c9bba0f1c4d9d99b7c8f9bdf6ab32"/>
      <w:r>
        <w:rPr>
          <w:rFonts w:hint="eastAsia" w:ascii="宋体" w:hAnsi="宋体" w:eastAsia="宋体" w:cs="宋体"/>
          <w:color w:val="auto"/>
          <w:szCs w:val="21"/>
          <w:highlight w:val="none"/>
          <w:u w:val="single"/>
        </w:rPr>
        <w:t>收到上述文件后</w:t>
      </w:r>
      <w:r>
        <w:rPr>
          <w:rFonts w:hint="eastAsia" w:ascii="宋体" w:hAnsi="宋体" w:cs="宋体"/>
          <w:color w:val="auto"/>
          <w:szCs w:val="21"/>
          <w:highlight w:val="none"/>
          <w:u w:val="single"/>
          <w:lang w:val="en-US" w:eastAsia="zh-CN"/>
        </w:rPr>
        <w:t>5</w:t>
      </w:r>
      <w:r>
        <w:rPr>
          <w:rFonts w:hint="eastAsia" w:ascii="宋体" w:hAnsi="宋体" w:eastAsia="宋体" w:cs="宋体"/>
          <w:color w:val="auto"/>
          <w:szCs w:val="21"/>
          <w:highlight w:val="none"/>
          <w:u w:val="single"/>
        </w:rPr>
        <w:t>日内予以确认</w:t>
      </w:r>
      <w:bookmarkEnd w:id="426"/>
      <w:r>
        <w:rPr>
          <w:rFonts w:hint="eastAsia" w:ascii="宋体" w:hAnsi="宋体" w:eastAsia="宋体" w:cs="宋体"/>
          <w:color w:val="auto"/>
          <w:szCs w:val="21"/>
          <w:highlight w:val="none"/>
        </w:rPr>
        <w:t>。</w:t>
      </w:r>
    </w:p>
    <w:p w14:paraId="070C8F4D">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7.2 施工进度计划</w:t>
      </w:r>
    </w:p>
    <w:p w14:paraId="262FDD09">
      <w:pPr>
        <w:pageBreakBefore w:val="0"/>
        <w:widowControl w:val="0"/>
        <w:spacing w:after="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7.2.2 施工进度计划的修订</w:t>
      </w:r>
    </w:p>
    <w:p w14:paraId="2DC7D587">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发包人和监理人在收到修订的施工进度计划后确认或提出修改意见的期限：</w:t>
      </w:r>
      <w:bookmarkStart w:id="427" w:name="EBad11476eeaf945a4bb48c806a0209a0c"/>
      <w:r>
        <w:rPr>
          <w:rFonts w:hint="eastAsia" w:ascii="宋体" w:hAnsi="宋体" w:eastAsia="宋体" w:cs="宋体"/>
          <w:color w:val="auto"/>
          <w:szCs w:val="21"/>
          <w:highlight w:val="none"/>
          <w:u w:val="single"/>
        </w:rPr>
        <w:t>收到修订的施工进度计划后</w:t>
      </w:r>
      <w:r>
        <w:rPr>
          <w:rFonts w:hint="eastAsia" w:ascii="宋体" w:hAnsi="宋体" w:cs="宋体"/>
          <w:color w:val="auto"/>
          <w:szCs w:val="21"/>
          <w:highlight w:val="none"/>
          <w:u w:val="single"/>
          <w:lang w:val="en-US" w:eastAsia="zh-CN"/>
        </w:rPr>
        <w:t>5</w:t>
      </w:r>
      <w:r>
        <w:rPr>
          <w:rFonts w:hint="eastAsia" w:ascii="宋体" w:hAnsi="宋体" w:eastAsia="宋体" w:cs="宋体"/>
          <w:color w:val="auto"/>
          <w:szCs w:val="21"/>
          <w:highlight w:val="none"/>
          <w:u w:val="single"/>
        </w:rPr>
        <w:t>日内</w:t>
      </w:r>
      <w:bookmarkEnd w:id="427"/>
      <w:r>
        <w:rPr>
          <w:rFonts w:hint="eastAsia" w:ascii="宋体" w:hAnsi="宋体" w:eastAsia="宋体" w:cs="宋体"/>
          <w:color w:val="auto"/>
          <w:szCs w:val="21"/>
          <w:highlight w:val="none"/>
        </w:rPr>
        <w:t>。</w:t>
      </w:r>
    </w:p>
    <w:p w14:paraId="7B25594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7.3 开工</w:t>
      </w:r>
    </w:p>
    <w:p w14:paraId="4F68FB7C">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7.3.1 开工准备</w:t>
      </w:r>
    </w:p>
    <w:p w14:paraId="40F21A18">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关于承包人提交工程开工报审表的期限：</w:t>
      </w:r>
      <w:bookmarkStart w:id="428" w:name="EBd93044158740452a9bb4f9453c428db9"/>
      <w:r>
        <w:rPr>
          <w:rFonts w:hint="eastAsia" w:ascii="宋体" w:hAnsi="宋体" w:eastAsia="宋体" w:cs="宋体"/>
          <w:color w:val="auto"/>
          <w:szCs w:val="21"/>
          <w:highlight w:val="none"/>
          <w:u w:val="single"/>
        </w:rPr>
        <w:t>开工前</w:t>
      </w:r>
      <w:r>
        <w:rPr>
          <w:rFonts w:hint="eastAsia" w:ascii="宋体" w:hAnsi="宋体" w:cs="宋体"/>
          <w:color w:val="auto"/>
          <w:szCs w:val="21"/>
          <w:highlight w:val="none"/>
          <w:u w:val="single"/>
          <w:lang w:val="en-US" w:eastAsia="zh-CN"/>
        </w:rPr>
        <w:t>5</w:t>
      </w:r>
      <w:r>
        <w:rPr>
          <w:rFonts w:hint="eastAsia" w:ascii="宋体" w:hAnsi="宋体" w:eastAsia="宋体" w:cs="宋体"/>
          <w:color w:val="auto"/>
          <w:szCs w:val="21"/>
          <w:highlight w:val="none"/>
          <w:u w:val="single"/>
        </w:rPr>
        <w:t>天</w:t>
      </w:r>
      <w:bookmarkEnd w:id="428"/>
      <w:r>
        <w:rPr>
          <w:rFonts w:hint="eastAsia" w:ascii="宋体" w:hAnsi="宋体" w:eastAsia="宋体" w:cs="宋体"/>
          <w:color w:val="auto"/>
          <w:szCs w:val="21"/>
          <w:highlight w:val="none"/>
        </w:rPr>
        <w:t>。</w:t>
      </w:r>
    </w:p>
    <w:p w14:paraId="02385DF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关于发包人应完成的其他开工准备工作及期限：</w:t>
      </w:r>
      <w:bookmarkStart w:id="429" w:name="EB49d66aa3d8564d79967fc77e177dc48a"/>
      <w:r>
        <w:rPr>
          <w:rFonts w:hint="eastAsia" w:ascii="宋体" w:hAnsi="宋体" w:eastAsia="宋体" w:cs="宋体"/>
          <w:color w:val="auto"/>
          <w:szCs w:val="21"/>
          <w:highlight w:val="none"/>
          <w:u w:val="single"/>
        </w:rPr>
        <w:t>开工前3天，如遇客观原因导致用地交付或行政审批手续滞后的，发包人可逐步完善相关准备工作，不视为发包人违约</w:t>
      </w:r>
      <w:bookmarkEnd w:id="429"/>
      <w:r>
        <w:rPr>
          <w:rFonts w:hint="eastAsia" w:ascii="宋体" w:hAnsi="宋体" w:eastAsia="宋体" w:cs="宋体"/>
          <w:color w:val="auto"/>
          <w:szCs w:val="21"/>
          <w:highlight w:val="none"/>
        </w:rPr>
        <w:t>。</w:t>
      </w:r>
    </w:p>
    <w:p w14:paraId="606DCFC8">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关于承包人应完成的其他开工准备工作及期限：</w:t>
      </w:r>
    </w:p>
    <w:p w14:paraId="4F4E8F6E">
      <w:pPr>
        <w:pageBreakBefore w:val="0"/>
        <w:widowControl w:val="0"/>
        <w:spacing w:line="400" w:lineRule="exact"/>
        <w:ind w:firstLine="420"/>
        <w:rPr>
          <w:rFonts w:hint="eastAsia" w:ascii="宋体" w:hAnsi="宋体" w:eastAsia="宋体" w:cs="宋体"/>
          <w:color w:val="auto"/>
          <w:szCs w:val="21"/>
          <w:highlight w:val="none"/>
          <w:u w:val="single"/>
        </w:rPr>
      </w:pPr>
      <w:bookmarkStart w:id="430" w:name="EB0b257a48844c416081d688a3cc2ef3a9"/>
      <w:r>
        <w:rPr>
          <w:rFonts w:hint="eastAsia" w:ascii="宋体" w:hAnsi="宋体" w:eastAsia="宋体" w:cs="宋体"/>
          <w:color w:val="auto"/>
          <w:szCs w:val="21"/>
          <w:highlight w:val="none"/>
          <w:u w:val="single"/>
        </w:rPr>
        <w:t>1、遵守政府有关部门对施工现场交通、施工噪音、环境保护和安全生产等管理规定，按规定办理有关手续，并承担由此发生的费用，包括因承包人责任造成的损失赔偿。取得的手续以书面形式通知发包人。</w:t>
      </w:r>
    </w:p>
    <w:p w14:paraId="016C9BEE">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施工过程中排污、环保、市容、消防、治安、人口管理等相关手续的办理以及因施工造成对临近居民的影响所引起的纠纷等，均由承包人负责协调处理。现场生活污水和生活垃圾必须定期清运，施工现场内雨水、废水、污水必须排入指定的排水沟或排水井内；保持道路畅通整洁。若污染城市道路和下水管网，则所造成的一切责任和后果均由承包人承担。承包人无条件配合发包人办理工程相关手续。</w:t>
      </w:r>
      <w:bookmarkEnd w:id="430"/>
    </w:p>
    <w:p w14:paraId="184336A8">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7.3.2开工通知</w:t>
      </w:r>
    </w:p>
    <w:p w14:paraId="0D79AD8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因发包人原因造成监理人未能在计划开工日期之日起</w:t>
      </w:r>
      <w:bookmarkStart w:id="431" w:name="EBe09d4b8c7f1548b4b34f90e8b4259001"/>
      <w:r>
        <w:rPr>
          <w:rFonts w:hint="eastAsia" w:ascii="宋体" w:hAnsi="宋体" w:eastAsia="宋体" w:cs="宋体"/>
          <w:color w:val="auto"/>
          <w:szCs w:val="21"/>
          <w:highlight w:val="none"/>
          <w:u w:val="single"/>
        </w:rPr>
        <w:t>180</w:t>
      </w:r>
      <w:bookmarkEnd w:id="431"/>
      <w:r>
        <w:rPr>
          <w:rFonts w:hint="eastAsia" w:ascii="宋体" w:hAnsi="宋体" w:eastAsia="宋体" w:cs="宋体"/>
          <w:color w:val="auto"/>
          <w:szCs w:val="21"/>
          <w:highlight w:val="none"/>
        </w:rPr>
        <w:t>天内发出开工通知的，承包人有权提出价格调整要求，或者解除合同。</w:t>
      </w:r>
    </w:p>
    <w:p w14:paraId="559D9B68">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7.4 测量放线</w:t>
      </w:r>
    </w:p>
    <w:p w14:paraId="64A75266">
      <w:pPr>
        <w:pageBreakBefore w:val="0"/>
        <w:widowControl w:val="0"/>
        <w:spacing w:line="400" w:lineRule="exact"/>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7.4.1发包人通过监理人向承包人提供测量基准点、基准线和水准点及其书面资料的期限：</w:t>
      </w:r>
      <w:bookmarkStart w:id="432" w:name="EB2161e5016ae3485d99d622dfea50f8c8"/>
      <w:r>
        <w:rPr>
          <w:rFonts w:hint="eastAsia" w:ascii="宋体" w:hAnsi="宋体" w:eastAsia="宋体" w:cs="宋体"/>
          <w:color w:val="auto"/>
          <w:szCs w:val="21"/>
          <w:highlight w:val="none"/>
          <w:u w:val="single"/>
        </w:rPr>
        <w:t>总监理工程师在开工前以书面形式到施工现场交验，并做好交验记录</w:t>
      </w:r>
      <w:bookmarkEnd w:id="432"/>
      <w:r>
        <w:rPr>
          <w:rFonts w:hint="eastAsia" w:ascii="宋体" w:hAnsi="宋体" w:eastAsia="宋体" w:cs="宋体"/>
          <w:color w:val="auto"/>
          <w:szCs w:val="21"/>
          <w:highlight w:val="none"/>
        </w:rPr>
        <w:t>。</w:t>
      </w:r>
    </w:p>
    <w:p w14:paraId="0A4039D3">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7.5 工期延误</w:t>
      </w:r>
    </w:p>
    <w:p w14:paraId="25D6C4C9">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7.5.1 因发包人原因导致工期延误</w:t>
      </w:r>
    </w:p>
    <w:p w14:paraId="14C0AAE6">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（7）因发包人原因导致工期延误的其他情形：</w:t>
      </w:r>
      <w:bookmarkStart w:id="433" w:name="EB2d153101c980422d8e15a67f6f8b32cf"/>
      <w:r>
        <w:rPr>
          <w:rFonts w:hint="eastAsia" w:ascii="宋体" w:hAnsi="宋体" w:eastAsia="宋体" w:cs="宋体"/>
          <w:color w:val="auto"/>
          <w:szCs w:val="21"/>
          <w:highlight w:val="none"/>
          <w:u w:val="single"/>
        </w:rPr>
        <w:t>发包人原因引起的工期延误发包方应予以顺延工期，但不承担任何补偿责任工期延误的其他情形：非承包人原因引起的工期延误发包方应予以顺延工期，但不承担任何补偿责任</w:t>
      </w:r>
      <w:bookmarkEnd w:id="433"/>
      <w:r>
        <w:rPr>
          <w:rFonts w:hint="eastAsia" w:ascii="宋体" w:hAnsi="宋体" w:eastAsia="宋体" w:cs="宋体"/>
          <w:color w:val="auto"/>
          <w:szCs w:val="21"/>
          <w:highlight w:val="none"/>
        </w:rPr>
        <w:t>。</w:t>
      </w:r>
    </w:p>
    <w:p w14:paraId="24C41FCE">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7.5.2 因承包人原因导致工期延误</w:t>
      </w:r>
    </w:p>
    <w:p w14:paraId="30680CE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因承包人原因造成工期延误，逾期竣工违约金的计算方法为：</w:t>
      </w:r>
      <w:bookmarkStart w:id="434" w:name="EB0f2d187be5504353b72782271aedb79c"/>
      <w:r>
        <w:rPr>
          <w:rFonts w:hint="eastAsia" w:ascii="宋体" w:hAnsi="宋体" w:eastAsia="宋体" w:cs="宋体"/>
          <w:color w:val="auto"/>
          <w:szCs w:val="21"/>
          <w:highlight w:val="none"/>
          <w:u w:val="single"/>
        </w:rPr>
        <w:t>每逾期一天按合同价款的千分之</w:t>
      </w:r>
      <w:r>
        <w:rPr>
          <w:rFonts w:hint="eastAsia" w:ascii="宋体" w:hAnsi="宋体" w:cs="宋体"/>
          <w:color w:val="auto"/>
          <w:szCs w:val="21"/>
          <w:highlight w:val="none"/>
          <w:u w:val="single"/>
          <w:lang w:eastAsia="zh-CN"/>
        </w:rPr>
        <w:t>一</w:t>
      </w:r>
      <w:r>
        <w:rPr>
          <w:rFonts w:hint="eastAsia" w:ascii="宋体" w:hAnsi="宋体" w:eastAsia="宋体" w:cs="宋体"/>
          <w:color w:val="auto"/>
          <w:szCs w:val="21"/>
          <w:highlight w:val="none"/>
          <w:u w:val="single"/>
        </w:rPr>
        <w:t>向发包人支付违约金，逾期超过</w:t>
      </w:r>
      <w:r>
        <w:rPr>
          <w:rFonts w:hint="eastAsia" w:ascii="宋体" w:hAnsi="宋体" w:cs="宋体"/>
          <w:color w:val="auto"/>
          <w:szCs w:val="21"/>
          <w:highlight w:val="none"/>
          <w:u w:val="single"/>
          <w:lang w:val="en-US" w:eastAsia="zh-CN"/>
        </w:rPr>
        <w:t>25</w:t>
      </w:r>
      <w:r>
        <w:rPr>
          <w:rFonts w:hint="eastAsia" w:ascii="宋体" w:hAnsi="宋体" w:eastAsia="宋体" w:cs="宋体"/>
          <w:color w:val="auto"/>
          <w:szCs w:val="21"/>
          <w:highlight w:val="none"/>
          <w:u w:val="single"/>
        </w:rPr>
        <w:t>天，发包人有权终止合同（已有工作量按已完成的实际工作量结算）</w:t>
      </w:r>
      <w:bookmarkEnd w:id="434"/>
      <w:r>
        <w:rPr>
          <w:rFonts w:hint="eastAsia" w:ascii="宋体" w:hAnsi="宋体" w:eastAsia="宋体" w:cs="宋体"/>
          <w:color w:val="auto"/>
          <w:szCs w:val="21"/>
          <w:highlight w:val="none"/>
        </w:rPr>
        <w:t>。</w:t>
      </w:r>
    </w:p>
    <w:p w14:paraId="1E2708B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因承包人原因造成工期延误，逾期竣工违约金的上限：</w:t>
      </w:r>
      <w:bookmarkStart w:id="435" w:name="EB661cc8cb377345b2928324a5e4cc8e9f"/>
      <w:r>
        <w:rPr>
          <w:rFonts w:hint="eastAsia" w:ascii="宋体" w:hAnsi="宋体" w:eastAsia="宋体" w:cs="宋体"/>
          <w:color w:val="auto"/>
          <w:szCs w:val="21"/>
          <w:highlight w:val="none"/>
          <w:u w:val="single"/>
        </w:rPr>
        <w:t>合同结算价的5%</w:t>
      </w:r>
      <w:bookmarkEnd w:id="435"/>
      <w:r>
        <w:rPr>
          <w:rFonts w:hint="eastAsia" w:ascii="宋体" w:hAnsi="宋体" w:eastAsia="宋体" w:cs="宋体"/>
          <w:color w:val="auto"/>
          <w:szCs w:val="21"/>
          <w:highlight w:val="none"/>
        </w:rPr>
        <w:t>。</w:t>
      </w:r>
    </w:p>
    <w:p w14:paraId="48C93A6F">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7.6 不利物质条件</w:t>
      </w:r>
    </w:p>
    <w:p w14:paraId="39741724">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不利物质条件的其他情形和有关约定：</w:t>
      </w:r>
      <w:bookmarkStart w:id="436" w:name="EB35fa5063941641a8be92d6bb8a0fbec5"/>
      <w:r>
        <w:rPr>
          <w:rFonts w:hint="eastAsia" w:ascii="宋体" w:hAnsi="宋体" w:eastAsia="宋体" w:cs="宋体"/>
          <w:color w:val="auto"/>
          <w:szCs w:val="21"/>
          <w:highlight w:val="none"/>
          <w:u w:val="single"/>
        </w:rPr>
        <w:t>执行通用条款7.6</w:t>
      </w:r>
      <w:bookmarkEnd w:id="436"/>
      <w:r>
        <w:rPr>
          <w:rFonts w:hint="eastAsia" w:ascii="宋体" w:hAnsi="宋体" w:eastAsia="宋体" w:cs="宋体"/>
          <w:color w:val="auto"/>
          <w:szCs w:val="21"/>
          <w:highlight w:val="none"/>
        </w:rPr>
        <w:t>。</w:t>
      </w:r>
    </w:p>
    <w:p w14:paraId="76CFBD04">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7.7异常恶劣的气候条件</w:t>
      </w:r>
    </w:p>
    <w:p w14:paraId="5268F1B6">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发包人和承包人同意以下情形视为异常恶劣的气候条件：</w:t>
      </w:r>
    </w:p>
    <w:p w14:paraId="2EF31B02">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w:t>
      </w:r>
      <w:bookmarkStart w:id="437" w:name="EBb7f2d92b33f24a51a688d5e157f561be"/>
      <w:r>
        <w:rPr>
          <w:rFonts w:hint="eastAsia" w:ascii="宋体" w:hAnsi="宋体" w:eastAsia="宋体" w:cs="宋体"/>
          <w:color w:val="auto"/>
          <w:szCs w:val="21"/>
          <w:highlight w:val="none"/>
          <w:u w:val="single"/>
        </w:rPr>
        <w:t>日降雨量大于300㎜的雨日超过1天</w:t>
      </w:r>
      <w:bookmarkEnd w:id="437"/>
      <w:r>
        <w:rPr>
          <w:rFonts w:hint="eastAsia" w:ascii="宋体" w:hAnsi="宋体" w:eastAsia="宋体" w:cs="宋体"/>
          <w:color w:val="auto"/>
          <w:szCs w:val="21"/>
          <w:highlight w:val="none"/>
          <w:u w:val="single"/>
        </w:rPr>
        <w:t>；</w:t>
      </w:r>
    </w:p>
    <w:p w14:paraId="5F67F821">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w:t>
      </w:r>
      <w:bookmarkStart w:id="438" w:name="EB86e700eee6744be39d839e599f78f506"/>
      <w:r>
        <w:rPr>
          <w:rFonts w:hint="eastAsia" w:ascii="宋体" w:hAnsi="宋体" w:eastAsia="宋体" w:cs="宋体"/>
          <w:color w:val="auto"/>
          <w:szCs w:val="21"/>
          <w:highlight w:val="none"/>
          <w:u w:val="single"/>
        </w:rPr>
        <w:t>风速大于32.7m/s的12级以上台风灾害</w:t>
      </w:r>
      <w:bookmarkEnd w:id="438"/>
      <w:r>
        <w:rPr>
          <w:rFonts w:hint="eastAsia" w:ascii="宋体" w:hAnsi="宋体" w:eastAsia="宋体" w:cs="宋体"/>
          <w:color w:val="auto"/>
          <w:szCs w:val="21"/>
          <w:highlight w:val="none"/>
          <w:u w:val="single"/>
        </w:rPr>
        <w:t>；</w:t>
      </w:r>
    </w:p>
    <w:p w14:paraId="041C25F5">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（3）</w:t>
      </w:r>
      <w:bookmarkStart w:id="439" w:name="EB975a5b9780494bc39073cd0ea1313252"/>
      <w:r>
        <w:rPr>
          <w:rFonts w:hint="eastAsia" w:ascii="宋体" w:hAnsi="宋体" w:eastAsia="宋体" w:cs="宋体"/>
          <w:color w:val="auto"/>
          <w:szCs w:val="21"/>
          <w:highlight w:val="none"/>
          <w:u w:val="single"/>
        </w:rPr>
        <w:t>日气温超过38℃的高温大于3天；</w:t>
      </w:r>
    </w:p>
    <w:p w14:paraId="046A7233">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（4）日气温低于-20℃的严寒大于3天；</w:t>
      </w:r>
    </w:p>
    <w:p w14:paraId="5AE480B4">
      <w:pPr>
        <w:pageBreakBefore w:val="0"/>
        <w:widowControl w:val="0"/>
        <w:spacing w:line="400" w:lineRule="exact"/>
        <w:ind w:firstLine="420"/>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（5）日降雪量100mm及以上</w:t>
      </w:r>
      <w:r>
        <w:rPr>
          <w:rFonts w:hint="eastAsia" w:ascii="宋体" w:hAnsi="宋体" w:cs="宋体"/>
          <w:color w:val="auto"/>
          <w:szCs w:val="21"/>
          <w:highlight w:val="none"/>
          <w:u w:val="single"/>
          <w:lang w:eastAsia="zh-CN"/>
        </w:rPr>
        <w:t>。</w:t>
      </w:r>
    </w:p>
    <w:p w14:paraId="5ED43AC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上述气象资料从当地气象公布的市区气象为准，否则视为承包人可以预见的风险。除工期按情况予以顺延外，上述情况造成的措施、停工、损坏等费用的增加，均包含在合同价款中，不再另行支付及补偿</w:t>
      </w:r>
      <w:bookmarkEnd w:id="439"/>
      <w:r>
        <w:rPr>
          <w:rFonts w:hint="eastAsia" w:ascii="宋体" w:hAnsi="宋体" w:eastAsia="宋体" w:cs="宋体"/>
          <w:color w:val="auto"/>
          <w:szCs w:val="21"/>
          <w:highlight w:val="none"/>
        </w:rPr>
        <w:t>。</w:t>
      </w:r>
    </w:p>
    <w:p w14:paraId="7CA1B24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7.9 提前竣工的奖励</w:t>
      </w:r>
    </w:p>
    <w:p w14:paraId="5051870E">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7.9.2提前竣工的奖励：</w:t>
      </w:r>
      <w:bookmarkStart w:id="440" w:name="EBcbbaf52047fd40178ce08851f20c853b"/>
      <w:r>
        <w:rPr>
          <w:rFonts w:hint="eastAsia" w:ascii="宋体" w:hAnsi="宋体" w:eastAsia="宋体" w:cs="宋体"/>
          <w:color w:val="auto"/>
          <w:szCs w:val="21"/>
          <w:highlight w:val="none"/>
          <w:u w:val="single"/>
        </w:rPr>
        <w:t>无</w:t>
      </w:r>
      <w:bookmarkEnd w:id="440"/>
      <w:r>
        <w:rPr>
          <w:rFonts w:hint="eastAsia" w:ascii="宋体" w:hAnsi="宋体" w:eastAsia="宋体" w:cs="宋体"/>
          <w:color w:val="auto"/>
          <w:szCs w:val="21"/>
          <w:highlight w:val="none"/>
        </w:rPr>
        <w:t>。</w:t>
      </w:r>
    </w:p>
    <w:p w14:paraId="51387661">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8. 材料与设备</w:t>
      </w:r>
    </w:p>
    <w:p w14:paraId="557D74C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8.4材料与工程设备的保管与使用</w:t>
      </w:r>
    </w:p>
    <w:p w14:paraId="790AD904">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8.4.1发包人供应的材料设备的保管费用的承担：</w:t>
      </w:r>
      <w:bookmarkStart w:id="441" w:name="EB1ecccb44378d46ffba4587fa7c454a64"/>
      <w:r>
        <w:rPr>
          <w:rFonts w:hint="eastAsia" w:ascii="宋体" w:hAnsi="宋体" w:eastAsia="宋体" w:cs="宋体"/>
          <w:color w:val="auto"/>
          <w:szCs w:val="21"/>
          <w:highlight w:val="none"/>
          <w:u w:val="single"/>
        </w:rPr>
        <w:t>乙供材承包人负责并承担费用。甲供材按现行计价程序执行</w:t>
      </w:r>
      <w:bookmarkEnd w:id="441"/>
      <w:r>
        <w:rPr>
          <w:rFonts w:hint="eastAsia" w:ascii="宋体" w:hAnsi="宋体" w:eastAsia="宋体" w:cs="宋体"/>
          <w:color w:val="auto"/>
          <w:szCs w:val="21"/>
          <w:highlight w:val="none"/>
        </w:rPr>
        <w:t>。</w:t>
      </w:r>
    </w:p>
    <w:p w14:paraId="7D3F3970">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8.6 样品</w:t>
      </w:r>
    </w:p>
    <w:p w14:paraId="5EBC3E05">
      <w:pPr>
        <w:pageBreakBefore w:val="0"/>
        <w:widowControl w:val="0"/>
        <w:spacing w:after="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8.6.1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样品的报送与封存</w:t>
      </w:r>
    </w:p>
    <w:p w14:paraId="440535F2">
      <w:pPr>
        <w:pageBreakBefore w:val="0"/>
        <w:widowControl w:val="0"/>
        <w:spacing w:after="120"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需要承包人报送样品的材料或工程设备，样品的种类、名称、规格、数量要求：</w:t>
      </w:r>
      <w:bookmarkStart w:id="442" w:name="EB3854beee115046429c76b6ef4b00a737"/>
      <w:r>
        <w:rPr>
          <w:rFonts w:hint="eastAsia" w:ascii="宋体" w:hAnsi="宋体" w:eastAsia="宋体" w:cs="宋体"/>
          <w:color w:val="auto"/>
          <w:szCs w:val="21"/>
          <w:highlight w:val="none"/>
          <w:u w:val="single"/>
        </w:rPr>
        <w:t>承包人负责采购材料、工程设备的，应按照设计和有关标准要求采购，并提供产品合格证明及出厂证明，对材料、工程设备质量负责。承包人应在材料和工程设备到货前24小时通知监理人检验。承包人进行永久设备、材料的制造和生产，应符合相关质量标准，并向监理人提交材料的样本以及有关资料，并应在使用该材料或工程设备之前获得监理人同意</w:t>
      </w:r>
      <w:bookmarkEnd w:id="442"/>
      <w:r>
        <w:rPr>
          <w:rFonts w:hint="eastAsia" w:ascii="宋体" w:hAnsi="宋体" w:eastAsia="宋体" w:cs="宋体"/>
          <w:color w:val="auto"/>
          <w:szCs w:val="21"/>
          <w:highlight w:val="none"/>
        </w:rPr>
        <w:t>。</w:t>
      </w:r>
    </w:p>
    <w:p w14:paraId="61430D28">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8.8 施工设备和临时设施</w:t>
      </w:r>
    </w:p>
    <w:p w14:paraId="028A5576">
      <w:pPr>
        <w:pageBreakBefore w:val="0"/>
        <w:widowControl w:val="0"/>
        <w:spacing w:after="120" w:line="400" w:lineRule="exact"/>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8.8.1 承包人提供的施工设备和临时设施：</w:t>
      </w:r>
    </w:p>
    <w:p w14:paraId="01710644">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关于修建临时设施费用承担的约定：</w:t>
      </w:r>
      <w:bookmarkStart w:id="443" w:name="EBcfb53d99705d4ddcbe9cf82eb3f5176f"/>
      <w:r>
        <w:rPr>
          <w:rFonts w:hint="eastAsia" w:ascii="宋体" w:hAnsi="宋体" w:eastAsia="宋体" w:cs="宋体"/>
          <w:color w:val="auto"/>
          <w:szCs w:val="21"/>
          <w:highlight w:val="none"/>
          <w:u w:val="single"/>
        </w:rPr>
        <w:t>由承包人承担，随工程款按工程量清单计价程序以中标费率支付</w:t>
      </w:r>
      <w:bookmarkEnd w:id="443"/>
      <w:r>
        <w:rPr>
          <w:rFonts w:hint="eastAsia" w:ascii="宋体" w:hAnsi="宋体" w:eastAsia="宋体" w:cs="宋体"/>
          <w:color w:val="auto"/>
          <w:szCs w:val="21"/>
          <w:highlight w:val="none"/>
        </w:rPr>
        <w:t>。</w:t>
      </w:r>
    </w:p>
    <w:p w14:paraId="12366D6C">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9. 试验与检验</w:t>
      </w:r>
    </w:p>
    <w:p w14:paraId="06E7666F">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9.1试验设备与试验人员</w:t>
      </w:r>
    </w:p>
    <w:p w14:paraId="523B5EDA">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9.1.2 试验设备</w:t>
      </w:r>
    </w:p>
    <w:p w14:paraId="18EEF5A4">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施工现场需要配置的试验设备：</w:t>
      </w:r>
      <w:r>
        <w:rPr>
          <w:rFonts w:hint="eastAsia" w:ascii="宋体" w:hAnsi="宋体" w:eastAsia="宋体" w:cs="宋体"/>
          <w:color w:val="auto"/>
          <w:szCs w:val="21"/>
          <w:highlight w:val="none"/>
          <w:u w:val="single"/>
        </w:rPr>
        <w:t>由承包人自行考虑，试验设备需经过检测并经有资质的检测单位完成校定</w:t>
      </w:r>
      <w:r>
        <w:rPr>
          <w:rFonts w:hint="eastAsia" w:ascii="宋体" w:hAnsi="宋体" w:eastAsia="宋体" w:cs="宋体"/>
          <w:color w:val="auto"/>
          <w:szCs w:val="21"/>
          <w:highlight w:val="none"/>
        </w:rPr>
        <w:t>。</w:t>
      </w:r>
    </w:p>
    <w:p w14:paraId="6901A1FA">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施工现场需要配备的取样装置：</w:t>
      </w:r>
      <w:r>
        <w:rPr>
          <w:rFonts w:hint="eastAsia" w:ascii="宋体" w:hAnsi="宋体" w:eastAsia="宋体" w:cs="宋体"/>
          <w:color w:val="auto"/>
          <w:szCs w:val="21"/>
          <w:highlight w:val="none"/>
          <w:u w:val="single"/>
        </w:rPr>
        <w:t>由承包人自行考虑，经监理见证下取样</w:t>
      </w:r>
      <w:r>
        <w:rPr>
          <w:rFonts w:hint="eastAsia" w:ascii="宋体" w:hAnsi="宋体" w:eastAsia="宋体" w:cs="宋体"/>
          <w:color w:val="auto"/>
          <w:szCs w:val="21"/>
          <w:highlight w:val="none"/>
        </w:rPr>
        <w:t>。</w:t>
      </w:r>
    </w:p>
    <w:p w14:paraId="222C2932">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施工现场需要配置的试验场所：</w:t>
      </w:r>
      <w:r>
        <w:rPr>
          <w:rFonts w:hint="eastAsia" w:ascii="宋体" w:hAnsi="宋体" w:eastAsia="宋体" w:cs="宋体"/>
          <w:color w:val="auto"/>
          <w:szCs w:val="21"/>
          <w:highlight w:val="none"/>
          <w:u w:val="single"/>
        </w:rPr>
        <w:t>由承包人自行考虑</w:t>
      </w:r>
      <w:r>
        <w:rPr>
          <w:rFonts w:hint="eastAsia" w:ascii="宋体" w:hAnsi="宋体" w:eastAsia="宋体" w:cs="宋体"/>
          <w:color w:val="auto"/>
          <w:szCs w:val="21"/>
          <w:highlight w:val="none"/>
        </w:rPr>
        <w:t>。</w:t>
      </w:r>
    </w:p>
    <w:p w14:paraId="33C8E738">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施工现场需要具备的其他试验条件：</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0CBA3B4F">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9.4 现场工艺试验 </w:t>
      </w:r>
    </w:p>
    <w:p w14:paraId="5F2D6122">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现场工艺试验的有关约定：</w:t>
      </w:r>
      <w:bookmarkStart w:id="444" w:name="EB44fef53c44624042a098c5330712c4dd"/>
      <w:r>
        <w:rPr>
          <w:rFonts w:hint="eastAsia" w:ascii="宋体" w:hAnsi="宋体" w:eastAsia="宋体" w:cs="宋体"/>
          <w:color w:val="auto"/>
          <w:szCs w:val="21"/>
          <w:highlight w:val="none"/>
          <w:u w:val="single"/>
        </w:rPr>
        <w:t>按工程质量和施工需要</w:t>
      </w:r>
      <w:bookmarkEnd w:id="444"/>
      <w:r>
        <w:rPr>
          <w:rFonts w:hint="eastAsia" w:ascii="宋体" w:hAnsi="宋体" w:eastAsia="宋体" w:cs="宋体"/>
          <w:color w:val="auto"/>
          <w:szCs w:val="21"/>
          <w:highlight w:val="none"/>
        </w:rPr>
        <w:t>。</w:t>
      </w:r>
    </w:p>
    <w:p w14:paraId="077F24F0">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10. 变更</w:t>
      </w:r>
    </w:p>
    <w:p w14:paraId="21370794">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10.1变更的范围</w:t>
      </w:r>
    </w:p>
    <w:p w14:paraId="10D57CB2">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关于变更的范围的约定：</w:t>
      </w:r>
      <w:bookmarkStart w:id="445" w:name="EB3e3c391fddf84506a86e88183ca5517f"/>
    </w:p>
    <w:p w14:paraId="674579FE">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工程变更是指在建设过程中，因不可预见因素对建设地点、工程规模、技术标准、工程数量、结构形式等发生以下情形之一的调整和修改：</w:t>
      </w:r>
    </w:p>
    <w:p w14:paraId="610A0D16">
      <w:pPr>
        <w:keepNext w:val="0"/>
        <w:keepLines w:val="0"/>
        <w:pageBreakBefore w:val="0"/>
        <w:widowControl w:val="0"/>
        <w:spacing w:line="400" w:lineRule="exact"/>
        <w:ind w:firstLine="42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（一）施工阶段设计图纸的变更；</w:t>
      </w:r>
    </w:p>
    <w:p w14:paraId="567BC453">
      <w:pPr>
        <w:keepNext w:val="0"/>
        <w:keepLines w:val="0"/>
        <w:pageBreakBefore w:val="0"/>
        <w:widowControl w:val="0"/>
        <w:spacing w:line="400" w:lineRule="exact"/>
        <w:ind w:firstLine="42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（二）因项目建设单位原因造成施工方案调整且涉及工程造价调整；</w:t>
      </w:r>
    </w:p>
    <w:p w14:paraId="5C3F80F3">
      <w:pPr>
        <w:keepNext w:val="0"/>
        <w:keepLines w:val="0"/>
        <w:pageBreakBefore w:val="0"/>
        <w:widowControl w:val="0"/>
        <w:spacing w:line="400" w:lineRule="exact"/>
        <w:ind w:firstLine="42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（三）重要材料与设备的换用；</w:t>
      </w:r>
    </w:p>
    <w:p w14:paraId="62028713">
      <w:pPr>
        <w:keepNext w:val="0"/>
        <w:keepLines w:val="0"/>
        <w:pageBreakBefore w:val="0"/>
        <w:widowControl w:val="0"/>
        <w:spacing w:line="400" w:lineRule="exact"/>
        <w:ind w:firstLine="42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（四）施工现场地质条件等实际情况与勘察报告等技术资料不符引起的现场签证及变更； </w:t>
      </w:r>
    </w:p>
    <w:p w14:paraId="22F232A8">
      <w:pPr>
        <w:keepNext w:val="0"/>
        <w:keepLines w:val="0"/>
        <w:pageBreakBefore w:val="0"/>
        <w:widowControl w:val="0"/>
        <w:spacing w:line="400" w:lineRule="exact"/>
        <w:ind w:firstLine="42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（五）因清单工程量、单位、主要特征描述与设计图纸不符引起的造价调整；</w:t>
      </w:r>
    </w:p>
    <w:p w14:paraId="4EFF2A84">
      <w:pPr>
        <w:keepNext w:val="0"/>
        <w:keepLines w:val="0"/>
        <w:pageBreakBefore w:val="0"/>
        <w:widowControl w:val="0"/>
        <w:spacing w:line="400" w:lineRule="exact"/>
        <w:ind w:firstLine="42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（六）合同主要条款的修改或者合同主体的变更； </w:t>
      </w:r>
    </w:p>
    <w:p w14:paraId="59649430">
      <w:pPr>
        <w:keepNext w:val="0"/>
        <w:keepLines w:val="0"/>
        <w:pageBreakBefore w:val="0"/>
        <w:widowControl w:val="0"/>
        <w:spacing w:line="400" w:lineRule="exact"/>
        <w:ind w:firstLine="42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（七）其他导致工程价款调整的变更。</w:t>
      </w:r>
    </w:p>
    <w:p w14:paraId="6A0E829F">
      <w:pPr>
        <w:keepNext w:val="0"/>
        <w:keepLines w:val="0"/>
        <w:pageBreakBefore w:val="0"/>
        <w:widowControl w:val="0"/>
        <w:spacing w:line="400" w:lineRule="exact"/>
        <w:ind w:firstLine="42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因国家政策调整（包含但不限于质量强制标准、上位国土空间规划、建筑业税率及规费等）以及符合我市规定的人工及材料价差调整均不属于工程变更审核范围</w:t>
      </w:r>
      <w:bookmarkEnd w:id="445"/>
      <w:r>
        <w:rPr>
          <w:rFonts w:hint="eastAsia" w:ascii="宋体" w:hAnsi="宋体" w:eastAsia="宋体" w:cs="宋体"/>
          <w:color w:val="auto"/>
          <w:szCs w:val="21"/>
          <w:highlight w:val="none"/>
          <w:u w:val="none"/>
        </w:rPr>
        <w:t>。</w:t>
      </w:r>
    </w:p>
    <w:p w14:paraId="1CFAB23F">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 变更估价</w:t>
      </w:r>
    </w:p>
    <w:p w14:paraId="4A6BE49E">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10.4.1 单价合同的变更估价原则</w:t>
      </w:r>
    </w:p>
    <w:p w14:paraId="7F309368">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关于变更估价的约定：因工程变更或工程量清单缺陷引起了分部分项工程清单数量增减未超过15%的，按下列规定确定综合单价并计价：</w:t>
      </w:r>
    </w:p>
    <w:p w14:paraId="0F49B9E6">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（1）相同施工条件下实施相同项目特征的清单项目，应采用相应的中标单价；</w:t>
      </w:r>
    </w:p>
    <w:p w14:paraId="5CB9BA5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（2）相同施工条件下实施类似项目特征的清单项目或类似施工条件下实施相同项目特征的清单项目，应依据工程实施情况结合类似清单项目的中标单价换算调整后确定；</w:t>
      </w:r>
    </w:p>
    <w:p w14:paraId="302328DA">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相同施工条件下实施不同项目特征的清单项目或不同施工条件下实施相同项目特征的清单项目或不同施工条件下实施不同项目特征的清单项目以及未超过公开招标限额的工程暂估价重新定价，当按照我省现行费用组成规则组价或参照同类项目设计概算、最高投标限价的形成的综合单价，应按本工程中标价与最高投标限价下浮比例同比下浮；但直接按施工时期市场询价、类似工程中标单价或结算单价以独立费形式确定不含税综合单价的除外。</w:t>
      </w:r>
    </w:p>
    <w:p w14:paraId="225BB695">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10.5承包人的合理化建议</w:t>
      </w:r>
    </w:p>
    <w:p w14:paraId="3CC216A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监理人审查承包人合理化建议的期限：</w:t>
      </w:r>
      <w:bookmarkStart w:id="446" w:name="EBaa6d9609e07c436a947a73ca8dfd351c"/>
      <w:r>
        <w:rPr>
          <w:rFonts w:hint="eastAsia" w:ascii="宋体" w:hAnsi="宋体" w:eastAsia="宋体" w:cs="宋体"/>
          <w:color w:val="auto"/>
          <w:szCs w:val="21"/>
          <w:highlight w:val="none"/>
          <w:u w:val="single"/>
        </w:rPr>
        <w:t>收到承包人提交的合理化建议后5天内审查完毕</w:t>
      </w:r>
      <w:bookmarkEnd w:id="446"/>
      <w:r>
        <w:rPr>
          <w:rFonts w:hint="eastAsia" w:ascii="宋体" w:hAnsi="宋体" w:eastAsia="宋体" w:cs="宋体"/>
          <w:color w:val="auto"/>
          <w:szCs w:val="21"/>
          <w:highlight w:val="none"/>
        </w:rPr>
        <w:t>。</w:t>
      </w:r>
    </w:p>
    <w:p w14:paraId="118EA98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发包人审批承包人合理化建议的期限：</w:t>
      </w:r>
      <w:bookmarkStart w:id="447" w:name="EB866c08ca4711411ebb74247200b4e575"/>
      <w:r>
        <w:rPr>
          <w:rFonts w:hint="eastAsia" w:ascii="宋体" w:hAnsi="宋体" w:eastAsia="宋体" w:cs="宋体"/>
          <w:color w:val="auto"/>
          <w:szCs w:val="21"/>
          <w:highlight w:val="none"/>
          <w:u w:val="single"/>
        </w:rPr>
        <w:t>收到监理人报送的合理化建议后5天内审批完毕</w:t>
      </w:r>
      <w:bookmarkEnd w:id="447"/>
      <w:r>
        <w:rPr>
          <w:rFonts w:hint="eastAsia" w:ascii="宋体" w:hAnsi="宋体" w:eastAsia="宋体" w:cs="宋体"/>
          <w:color w:val="auto"/>
          <w:szCs w:val="21"/>
          <w:highlight w:val="none"/>
        </w:rPr>
        <w:t>。</w:t>
      </w:r>
    </w:p>
    <w:p w14:paraId="3AC7DF1A">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承包人提出的合理化建议降低了合同价格或者提高了工程经济效益的奖励的方法和金额为：</w:t>
      </w:r>
      <w:bookmarkStart w:id="448" w:name="EBcad785867e8348b496d2c124389ca6aa"/>
      <w:r>
        <w:rPr>
          <w:rFonts w:hint="eastAsia" w:ascii="宋体" w:hAnsi="宋体" w:eastAsia="宋体" w:cs="宋体"/>
          <w:color w:val="auto"/>
          <w:szCs w:val="21"/>
          <w:highlight w:val="none"/>
          <w:u w:val="single"/>
        </w:rPr>
        <w:t>/</w:t>
      </w:r>
      <w:bookmarkEnd w:id="448"/>
      <w:r>
        <w:rPr>
          <w:rFonts w:hint="eastAsia" w:ascii="宋体" w:hAnsi="宋体" w:eastAsia="宋体" w:cs="宋体"/>
          <w:color w:val="auto"/>
          <w:szCs w:val="21"/>
          <w:highlight w:val="none"/>
        </w:rPr>
        <w:t>。</w:t>
      </w:r>
    </w:p>
    <w:p w14:paraId="15378646">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 暂估价</w:t>
      </w:r>
    </w:p>
    <w:p w14:paraId="5A9AB89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暂估价材料和工程设备的明细详见附件11：《暂估价一览表》。</w:t>
      </w:r>
    </w:p>
    <w:p w14:paraId="6ABBEFE6">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10.7.1 依法必须招标的暂估价项目</w:t>
      </w:r>
    </w:p>
    <w:p w14:paraId="1EF0597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对于依法必须招标的暂估价项目的确认和批准采取第</w:t>
      </w:r>
      <w:bookmarkStart w:id="449" w:name="EBdae702c30a2748c8a31931d00fc33a11"/>
      <w:r>
        <w:rPr>
          <w:rFonts w:hint="eastAsia" w:ascii="宋体" w:hAnsi="宋体" w:eastAsia="宋体" w:cs="宋体"/>
          <w:color w:val="auto"/>
          <w:szCs w:val="21"/>
          <w:highlight w:val="none"/>
          <w:u w:val="single"/>
        </w:rPr>
        <w:t>2</w:t>
      </w:r>
      <w:bookmarkEnd w:id="449"/>
      <w:r>
        <w:rPr>
          <w:rFonts w:hint="eastAsia" w:ascii="宋体" w:hAnsi="宋体" w:eastAsia="宋体" w:cs="宋体"/>
          <w:color w:val="auto"/>
          <w:szCs w:val="21"/>
          <w:highlight w:val="none"/>
        </w:rPr>
        <w:t>种方式确定。</w:t>
      </w:r>
    </w:p>
    <w:p w14:paraId="011E9D6A">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10.7.2 不属于依法必须招标的暂估价项目</w:t>
      </w:r>
    </w:p>
    <w:p w14:paraId="6F9302C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对于不属于依法必须招标的暂估价项目的确认和批准采取第</w:t>
      </w:r>
      <w:r>
        <w:rPr>
          <w:rFonts w:hint="eastAsia" w:ascii="宋体" w:hAnsi="宋体" w:eastAsia="宋体" w:cs="宋体"/>
          <w:color w:val="auto"/>
          <w:szCs w:val="21"/>
          <w:highlight w:val="none"/>
          <w:u w:val="single"/>
        </w:rPr>
        <w:t xml:space="preserve"> 1 </w:t>
      </w:r>
      <w:r>
        <w:rPr>
          <w:rFonts w:hint="eastAsia" w:ascii="宋体" w:hAnsi="宋体" w:eastAsia="宋体" w:cs="宋体"/>
          <w:color w:val="auto"/>
          <w:szCs w:val="21"/>
          <w:highlight w:val="none"/>
        </w:rPr>
        <w:t>种方式确定。</w:t>
      </w:r>
    </w:p>
    <w:p w14:paraId="5BF65BF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第1种方式：</w:t>
      </w:r>
      <w:r>
        <w:rPr>
          <w:rFonts w:hint="eastAsia" w:ascii="宋体" w:hAnsi="宋体" w:eastAsia="宋体" w:cs="宋体"/>
          <w:color w:val="auto"/>
          <w:szCs w:val="21"/>
          <w:highlight w:val="none"/>
          <w:u w:val="single"/>
        </w:rPr>
        <w:t>承包人可以采用非招标方式选择的供应商或分包人，深化设计须经发包人同意后，执行第10.4.1（3）条款</w:t>
      </w:r>
      <w:r>
        <w:rPr>
          <w:rFonts w:hint="eastAsia" w:ascii="宋体" w:hAnsi="宋体" w:eastAsia="宋体" w:cs="宋体"/>
          <w:color w:val="auto"/>
          <w:szCs w:val="21"/>
          <w:highlight w:val="none"/>
        </w:rPr>
        <w:t>。</w:t>
      </w:r>
    </w:p>
    <w:p w14:paraId="72F0A24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承包人直接实施的暂估价项目的约定：</w:t>
      </w:r>
      <w:bookmarkStart w:id="450" w:name="EBe71510d90cdc4ea48adc88a972c8067d"/>
      <w:r>
        <w:rPr>
          <w:rFonts w:hint="eastAsia" w:ascii="宋体" w:hAnsi="宋体" w:eastAsia="宋体" w:cs="宋体"/>
          <w:color w:val="auto"/>
          <w:szCs w:val="21"/>
          <w:highlight w:val="none"/>
        </w:rPr>
        <w:t>/</w:t>
      </w:r>
      <w:bookmarkEnd w:id="450"/>
      <w:r>
        <w:rPr>
          <w:rFonts w:hint="eastAsia" w:ascii="宋体" w:hAnsi="宋体" w:eastAsia="宋体" w:cs="宋体"/>
          <w:color w:val="auto"/>
          <w:szCs w:val="21"/>
          <w:highlight w:val="none"/>
        </w:rPr>
        <w:t>。</w:t>
      </w:r>
    </w:p>
    <w:p w14:paraId="52183C2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10.8 暂列金额</w:t>
      </w:r>
    </w:p>
    <w:p w14:paraId="00A18F3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合同当事人关于暂列金额使用的约定：</w:t>
      </w:r>
      <w:r>
        <w:rPr>
          <w:rFonts w:hint="eastAsia" w:ascii="宋体" w:hAnsi="宋体" w:eastAsia="宋体" w:cs="宋体"/>
          <w:color w:val="auto"/>
          <w:szCs w:val="21"/>
          <w:highlight w:val="none"/>
          <w:u w:val="single"/>
        </w:rPr>
        <w:t>由发包人书面批准后方可实施</w:t>
      </w:r>
      <w:r>
        <w:rPr>
          <w:rFonts w:hint="eastAsia" w:ascii="宋体" w:hAnsi="宋体" w:eastAsia="宋体" w:cs="宋体"/>
          <w:color w:val="auto"/>
          <w:szCs w:val="21"/>
          <w:highlight w:val="none"/>
        </w:rPr>
        <w:t>。</w:t>
      </w:r>
    </w:p>
    <w:p w14:paraId="76B033B8">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11. 价格调整</w:t>
      </w:r>
    </w:p>
    <w:p w14:paraId="6BC316E3">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市场价格波动引起的调整</w:t>
      </w:r>
    </w:p>
    <w:p w14:paraId="392F6093">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市场价格波动是否调整合同价格的约定：</w:t>
      </w:r>
      <w:r>
        <w:rPr>
          <w:rFonts w:hint="eastAsia" w:ascii="宋体" w:hAnsi="宋体" w:eastAsia="宋体" w:cs="宋体"/>
          <w:color w:val="auto"/>
          <w:szCs w:val="21"/>
          <w:highlight w:val="none"/>
          <w:u w:val="single"/>
        </w:rPr>
        <w:t>计划工期在6个月（含）内或最高限价在500万元（含）以下的政府投资工程，结算时主材价格不予调差，除此以外应当按照以下原则进行调整</w:t>
      </w:r>
      <w:r>
        <w:rPr>
          <w:rFonts w:hint="eastAsia" w:ascii="宋体" w:hAnsi="宋体" w:eastAsia="宋体" w:cs="宋体"/>
          <w:color w:val="auto"/>
          <w:szCs w:val="21"/>
          <w:highlight w:val="none"/>
        </w:rPr>
        <w:t>。</w:t>
      </w:r>
    </w:p>
    <w:p w14:paraId="4C9F36A3">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因市场价格波动调整合同价格，采用以下第</w:t>
      </w:r>
      <w:r>
        <w:rPr>
          <w:rFonts w:hint="eastAsia" w:ascii="宋体" w:hAnsi="宋体" w:cs="宋体"/>
          <w:color w:val="auto"/>
          <w:szCs w:val="21"/>
          <w:highlight w:val="none"/>
          <w:u w:val="single"/>
          <w:lang w:val="en-US" w:eastAsia="zh-CN"/>
        </w:rPr>
        <w:t xml:space="preserve">  / </w:t>
      </w:r>
      <w:r>
        <w:rPr>
          <w:rFonts w:hint="eastAsia" w:ascii="宋体" w:hAnsi="宋体" w:eastAsia="宋体" w:cs="宋体"/>
          <w:color w:val="auto"/>
          <w:szCs w:val="21"/>
          <w:highlight w:val="none"/>
        </w:rPr>
        <w:t>种方式对合同价格进行调整：</w:t>
      </w:r>
    </w:p>
    <w:p w14:paraId="3926EEE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第1种方式：采用价格指数进行价格调整。</w:t>
      </w:r>
    </w:p>
    <w:p w14:paraId="392936DB">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关于各可调因子、定值和变值权重，以及基本价格指数及其来源的约定：</w:t>
      </w:r>
      <w:bookmarkStart w:id="451" w:name="EB160ded03914f496188467d46b8187824"/>
      <w:r>
        <w:rPr>
          <w:rFonts w:hint="eastAsia" w:ascii="宋体" w:hAnsi="宋体" w:eastAsia="宋体" w:cs="宋体"/>
          <w:color w:val="auto"/>
          <w:szCs w:val="21"/>
          <w:highlight w:val="none"/>
          <w:u w:val="single"/>
        </w:rPr>
        <w:t>/</w:t>
      </w:r>
      <w:bookmarkEnd w:id="451"/>
      <w:r>
        <w:rPr>
          <w:rFonts w:hint="eastAsia" w:ascii="宋体" w:hAnsi="宋体" w:eastAsia="宋体" w:cs="宋体"/>
          <w:color w:val="auto"/>
          <w:szCs w:val="21"/>
          <w:highlight w:val="none"/>
        </w:rPr>
        <w:t xml:space="preserve">；  </w:t>
      </w:r>
    </w:p>
    <w:p w14:paraId="7F2C19C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第2种方式：采用造价信息进行价格调整。</w:t>
      </w:r>
    </w:p>
    <w:p w14:paraId="34492D3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（2）关于基准价格的约定：</w:t>
      </w:r>
      <w:bookmarkStart w:id="452" w:name="EBebed725e00e74166b85dd952b89f7741"/>
      <w:r>
        <w:rPr>
          <w:rFonts w:hint="eastAsia" w:ascii="宋体" w:hAnsi="宋体" w:eastAsia="宋体" w:cs="宋体"/>
          <w:color w:val="auto"/>
          <w:szCs w:val="21"/>
          <w:highlight w:val="none"/>
          <w:u w:val="single"/>
        </w:rPr>
        <w:t>/</w:t>
      </w:r>
      <w:bookmarkEnd w:id="452"/>
      <w:r>
        <w:rPr>
          <w:rFonts w:hint="eastAsia" w:ascii="宋体" w:hAnsi="宋体" w:eastAsia="宋体" w:cs="宋体"/>
          <w:color w:val="auto"/>
          <w:szCs w:val="21"/>
          <w:highlight w:val="none"/>
        </w:rPr>
        <w:t>。</w:t>
      </w:r>
    </w:p>
    <w:p w14:paraId="42A57F6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专用合同条款①承包人在已标价工程量清单或预算书中载明的材料单价低于基准价格的：专用合同条款合同履行期间材料单价涨幅以基准价格为基础超过</w:t>
      </w:r>
      <w:bookmarkStart w:id="453" w:name="EB0cd3f373d7124fb3a23644f1c9816e97"/>
      <w:r>
        <w:rPr>
          <w:rFonts w:hint="eastAsia" w:ascii="宋体" w:hAnsi="宋体" w:eastAsia="宋体" w:cs="宋体"/>
          <w:color w:val="auto"/>
          <w:szCs w:val="21"/>
          <w:highlight w:val="none"/>
        </w:rPr>
        <w:t>/</w:t>
      </w:r>
      <w:bookmarkEnd w:id="453"/>
      <w:r>
        <w:rPr>
          <w:rFonts w:hint="eastAsia" w:ascii="宋体" w:hAnsi="宋体" w:eastAsia="宋体" w:cs="宋体"/>
          <w:color w:val="auto"/>
          <w:szCs w:val="21"/>
          <w:highlight w:val="none"/>
        </w:rPr>
        <w:t>%时，或材料单价跌幅以已标价工程量清单或预算书中载明材料单价为基础超过</w:t>
      </w:r>
      <w:bookmarkStart w:id="454" w:name="EBcaacac187b6440788d4dde9b39b13413"/>
      <w:r>
        <w:rPr>
          <w:rFonts w:hint="eastAsia" w:ascii="宋体" w:hAnsi="宋体" w:eastAsia="宋体" w:cs="宋体"/>
          <w:color w:val="auto"/>
          <w:szCs w:val="21"/>
          <w:highlight w:val="none"/>
        </w:rPr>
        <w:t>/</w:t>
      </w:r>
      <w:bookmarkEnd w:id="454"/>
      <w:r>
        <w:rPr>
          <w:rFonts w:hint="eastAsia" w:ascii="宋体" w:hAnsi="宋体" w:eastAsia="宋体" w:cs="宋体"/>
          <w:color w:val="auto"/>
          <w:szCs w:val="21"/>
          <w:highlight w:val="none"/>
        </w:rPr>
        <w:t>%时，其超过部分据实调整。</w:t>
      </w:r>
    </w:p>
    <w:p w14:paraId="2F4F574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②承包人在已标价工程量清单或预算书中载明的材料单价高于基准价格的：专用合同条款合同履行期间材料单价跌幅以基准价格为基础超过</w:t>
      </w:r>
      <w:bookmarkStart w:id="455" w:name="EBa98dfa07919543dfba4f09fcc90f5120"/>
      <w:r>
        <w:rPr>
          <w:rFonts w:hint="eastAsia" w:ascii="宋体" w:hAnsi="宋体" w:eastAsia="宋体" w:cs="宋体"/>
          <w:color w:val="auto"/>
          <w:szCs w:val="21"/>
          <w:highlight w:val="none"/>
        </w:rPr>
        <w:t>/</w:t>
      </w:r>
      <w:bookmarkEnd w:id="455"/>
      <w:r>
        <w:rPr>
          <w:rFonts w:hint="eastAsia" w:ascii="宋体" w:hAnsi="宋体" w:eastAsia="宋体" w:cs="宋体"/>
          <w:color w:val="auto"/>
          <w:szCs w:val="21"/>
          <w:highlight w:val="none"/>
        </w:rPr>
        <w:t>%时，材料单价涨幅以已标价工程量清单或预算书中载明材料单价为基础超过</w:t>
      </w:r>
      <w:bookmarkStart w:id="456" w:name="EB291c53a473db4a51af6e78b6dafade77"/>
      <w:r>
        <w:rPr>
          <w:rFonts w:hint="eastAsia" w:ascii="宋体" w:hAnsi="宋体" w:eastAsia="宋体" w:cs="宋体"/>
          <w:color w:val="auto"/>
          <w:szCs w:val="21"/>
          <w:highlight w:val="none"/>
        </w:rPr>
        <w:t>/</w:t>
      </w:r>
      <w:bookmarkEnd w:id="456"/>
      <w:r>
        <w:rPr>
          <w:rFonts w:hint="eastAsia" w:ascii="宋体" w:hAnsi="宋体" w:eastAsia="宋体" w:cs="宋体"/>
          <w:color w:val="auto"/>
          <w:szCs w:val="21"/>
          <w:highlight w:val="none"/>
        </w:rPr>
        <w:t>%时，其超过部分据实调整。</w:t>
      </w:r>
    </w:p>
    <w:p w14:paraId="73241372">
      <w:pPr>
        <w:pageBreakBefore w:val="0"/>
        <w:widowControl w:val="0"/>
        <w:spacing w:line="400" w:lineRule="exact"/>
        <w:ind w:firstLine="645"/>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③承包人在已标价工程量清单或预算书中载明的材料单价等于基准单价的：专用合同条款合同履行期间材料单价涨跌幅以基准单价为基础超过±</w:t>
      </w:r>
      <w:bookmarkStart w:id="457" w:name="EB2e50a11a80e540fbbb2d3bbcc72b1471"/>
      <w:r>
        <w:rPr>
          <w:rFonts w:hint="eastAsia" w:ascii="宋体" w:hAnsi="宋体" w:eastAsia="宋体" w:cs="宋体"/>
          <w:color w:val="auto"/>
          <w:szCs w:val="21"/>
          <w:highlight w:val="none"/>
        </w:rPr>
        <w:t>/</w:t>
      </w:r>
      <w:bookmarkEnd w:id="457"/>
      <w:r>
        <w:rPr>
          <w:rFonts w:hint="eastAsia" w:ascii="宋体" w:hAnsi="宋体" w:eastAsia="宋体" w:cs="宋体"/>
          <w:color w:val="auto"/>
          <w:szCs w:val="21"/>
          <w:highlight w:val="none"/>
        </w:rPr>
        <w:t>%时，其超过部分据实调整。</w:t>
      </w:r>
    </w:p>
    <w:p w14:paraId="77151557">
      <w:pPr>
        <w:pageBreakBefore w:val="0"/>
        <w:widowControl w:val="0"/>
        <w:spacing w:line="400" w:lineRule="exact"/>
        <w:ind w:firstLine="645"/>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第3种方式：其他价格调整方式：</w:t>
      </w:r>
      <w:r>
        <w:rPr>
          <w:rFonts w:hint="eastAsia" w:ascii="宋体" w:hAnsi="宋体" w:cs="宋体"/>
          <w:color w:val="auto"/>
          <w:szCs w:val="21"/>
          <w:highlight w:val="none"/>
          <w:u w:val="single"/>
          <w:lang w:val="en-US" w:eastAsia="zh-CN"/>
        </w:rPr>
        <w:t>/</w:t>
      </w:r>
      <w:r>
        <w:rPr>
          <w:rFonts w:hint="eastAsia" w:ascii="宋体" w:hAnsi="宋体" w:eastAsia="宋体" w:cs="宋体"/>
          <w:color w:val="auto"/>
          <w:szCs w:val="21"/>
          <w:highlight w:val="none"/>
        </w:rPr>
        <w:t>。</w:t>
      </w:r>
    </w:p>
    <w:p w14:paraId="3225F3C4">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12. 合同价格、计量与支付</w:t>
      </w:r>
    </w:p>
    <w:p w14:paraId="5257E3F4">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 合同价格形式</w:t>
      </w:r>
    </w:p>
    <w:p w14:paraId="41B11008">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1、单价合同。</w:t>
      </w:r>
    </w:p>
    <w:p w14:paraId="4AD87F3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综合单价包含的风险范围：</w:t>
      </w:r>
      <w:r>
        <w:rPr>
          <w:rFonts w:hint="eastAsia" w:ascii="宋体" w:hAnsi="宋体" w:eastAsia="宋体" w:cs="宋体"/>
          <w:color w:val="auto"/>
          <w:szCs w:val="21"/>
          <w:highlight w:val="none"/>
          <w:u w:val="single"/>
        </w:rPr>
        <w:t>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且工程量未超过15%的所有风险</w:t>
      </w:r>
      <w:r>
        <w:rPr>
          <w:rFonts w:hint="eastAsia" w:ascii="宋体" w:hAnsi="宋体" w:eastAsia="宋体" w:cs="宋体"/>
          <w:color w:val="auto"/>
          <w:szCs w:val="21"/>
          <w:highlight w:val="none"/>
        </w:rPr>
        <w:t>。</w:t>
      </w:r>
    </w:p>
    <w:p w14:paraId="0F1FDD1F">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风险费用的计算方法：</w:t>
      </w:r>
      <w:bookmarkStart w:id="458" w:name="EBd707aab98a6845d890f8a5a60494cc82"/>
      <w:r>
        <w:rPr>
          <w:rFonts w:hint="eastAsia" w:ascii="宋体" w:hAnsi="宋体" w:eastAsia="宋体" w:cs="宋体"/>
          <w:color w:val="auto"/>
          <w:szCs w:val="21"/>
          <w:highlight w:val="none"/>
        </w:rPr>
        <w:t>/</w:t>
      </w:r>
      <w:bookmarkEnd w:id="458"/>
      <w:r>
        <w:rPr>
          <w:rFonts w:hint="eastAsia" w:ascii="宋体" w:hAnsi="宋体" w:eastAsia="宋体" w:cs="宋体"/>
          <w:color w:val="auto"/>
          <w:szCs w:val="21"/>
          <w:highlight w:val="none"/>
        </w:rPr>
        <w:t>。</w:t>
      </w:r>
    </w:p>
    <w:p w14:paraId="2AB2935F">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风险范围以外合同价格的调整方法：</w:t>
      </w:r>
      <w:bookmarkStart w:id="459" w:name="EB4336b36a0cda402badc2b85cde7ea42c"/>
      <w:r>
        <w:rPr>
          <w:rFonts w:hint="eastAsia" w:ascii="宋体" w:hAnsi="宋体" w:eastAsia="宋体" w:cs="宋体"/>
          <w:color w:val="auto"/>
          <w:szCs w:val="21"/>
          <w:highlight w:val="none"/>
        </w:rPr>
        <w:t>/</w:t>
      </w:r>
      <w:bookmarkEnd w:id="459"/>
      <w:r>
        <w:rPr>
          <w:rFonts w:hint="eastAsia" w:ascii="宋体" w:hAnsi="宋体" w:eastAsia="宋体" w:cs="宋体"/>
          <w:color w:val="auto"/>
          <w:szCs w:val="21"/>
          <w:highlight w:val="none"/>
        </w:rPr>
        <w:t>。</w:t>
      </w:r>
    </w:p>
    <w:p w14:paraId="1DABC1F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w:t>
      </w:r>
    </w:p>
    <w:p w14:paraId="6ECEDA24">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总价包含的风险范围：</w:t>
      </w:r>
      <w:bookmarkStart w:id="460" w:name="EB27abc1da743d4aa4a8f5c4114a638c92"/>
      <w:r>
        <w:rPr>
          <w:rFonts w:hint="eastAsia" w:ascii="宋体" w:hAnsi="宋体" w:eastAsia="宋体" w:cs="宋体"/>
          <w:color w:val="auto"/>
          <w:szCs w:val="21"/>
          <w:highlight w:val="none"/>
        </w:rPr>
        <w:t>/</w:t>
      </w:r>
      <w:bookmarkEnd w:id="460"/>
      <w:r>
        <w:rPr>
          <w:rFonts w:hint="eastAsia" w:ascii="宋体" w:hAnsi="宋体" w:eastAsia="宋体" w:cs="宋体"/>
          <w:color w:val="auto"/>
          <w:szCs w:val="21"/>
          <w:highlight w:val="none"/>
        </w:rPr>
        <w:t>。</w:t>
      </w:r>
    </w:p>
    <w:p w14:paraId="7AF40E73">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风险费用的计算方法：</w:t>
      </w:r>
      <w:bookmarkStart w:id="461" w:name="EB71db1e49dea84f82ad18ebb57277d065"/>
      <w:r>
        <w:rPr>
          <w:rFonts w:hint="eastAsia" w:ascii="宋体" w:hAnsi="宋体" w:eastAsia="宋体" w:cs="宋体"/>
          <w:color w:val="auto"/>
          <w:szCs w:val="21"/>
          <w:highlight w:val="none"/>
        </w:rPr>
        <w:t>/</w:t>
      </w:r>
      <w:bookmarkEnd w:id="461"/>
      <w:r>
        <w:rPr>
          <w:rFonts w:hint="eastAsia" w:ascii="宋体" w:hAnsi="宋体" w:eastAsia="宋体" w:cs="宋体"/>
          <w:color w:val="auto"/>
          <w:szCs w:val="21"/>
          <w:highlight w:val="none"/>
        </w:rPr>
        <w:t>。</w:t>
      </w:r>
    </w:p>
    <w:p w14:paraId="00322BB4">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风险范围以外合同价格的调整方法：</w:t>
      </w:r>
      <w:bookmarkStart w:id="462" w:name="EB4e696ab6fcb647169ebf7936d99a7d26"/>
      <w:r>
        <w:rPr>
          <w:rFonts w:hint="eastAsia" w:ascii="宋体" w:hAnsi="宋体" w:eastAsia="宋体" w:cs="宋体"/>
          <w:color w:val="auto"/>
          <w:szCs w:val="21"/>
          <w:highlight w:val="none"/>
        </w:rPr>
        <w:t>/</w:t>
      </w:r>
      <w:bookmarkEnd w:id="462"/>
      <w:r>
        <w:rPr>
          <w:rFonts w:hint="eastAsia" w:ascii="宋体" w:hAnsi="宋体" w:eastAsia="宋体" w:cs="宋体"/>
          <w:color w:val="auto"/>
          <w:szCs w:val="21"/>
          <w:highlight w:val="none"/>
        </w:rPr>
        <w:t>。</w:t>
      </w:r>
    </w:p>
    <w:p w14:paraId="68979ACC">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3、其他价格方式：</w:t>
      </w:r>
      <w:bookmarkStart w:id="463" w:name="EBebea0e5f614d492d98493df5c1b340e5"/>
      <w:r>
        <w:rPr>
          <w:rFonts w:hint="eastAsia" w:ascii="宋体" w:hAnsi="宋体" w:eastAsia="宋体" w:cs="宋体"/>
          <w:color w:val="auto"/>
          <w:szCs w:val="21"/>
          <w:highlight w:val="none"/>
        </w:rPr>
        <w:t>/</w:t>
      </w:r>
      <w:bookmarkEnd w:id="463"/>
      <w:r>
        <w:rPr>
          <w:rFonts w:hint="eastAsia" w:ascii="宋体" w:hAnsi="宋体" w:eastAsia="宋体" w:cs="宋体"/>
          <w:color w:val="auto"/>
          <w:szCs w:val="21"/>
          <w:highlight w:val="none"/>
        </w:rPr>
        <w:t>。</w:t>
      </w:r>
    </w:p>
    <w:p w14:paraId="7874F6FA">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 预付款</w:t>
      </w:r>
    </w:p>
    <w:p w14:paraId="698B64B5">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12.2.1 预付款的支付</w:t>
      </w:r>
    </w:p>
    <w:p w14:paraId="7998145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预付款支付比例或金额：</w:t>
      </w:r>
      <w:bookmarkStart w:id="464" w:name="EB2c26a7cb083741089331078cc02ca2e7"/>
      <w:r>
        <w:rPr>
          <w:rFonts w:hint="eastAsia" w:ascii="宋体" w:hAnsi="宋体" w:eastAsia="宋体" w:cs="宋体"/>
          <w:color w:val="auto"/>
          <w:szCs w:val="21"/>
          <w:highlight w:val="none"/>
          <w:u w:val="single"/>
        </w:rPr>
        <w:t>合同金额（不含暂列金额和暂估价）的10%</w:t>
      </w:r>
      <w:bookmarkEnd w:id="464"/>
      <w:r>
        <w:rPr>
          <w:rFonts w:hint="eastAsia" w:ascii="宋体" w:hAnsi="宋体" w:eastAsia="宋体" w:cs="宋体"/>
          <w:color w:val="auto"/>
          <w:szCs w:val="21"/>
          <w:highlight w:val="none"/>
        </w:rPr>
        <w:t>。</w:t>
      </w:r>
    </w:p>
    <w:p w14:paraId="482473E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预付款支付期限：</w:t>
      </w:r>
      <w:r>
        <w:rPr>
          <w:rFonts w:hint="eastAsia" w:ascii="宋体" w:hAnsi="宋体" w:eastAsia="宋体" w:cs="宋体"/>
          <w:color w:val="auto"/>
          <w:szCs w:val="21"/>
          <w:highlight w:val="none"/>
          <w:u w:val="single"/>
        </w:rPr>
        <w:t>凡是未收到承包人提供对等金额的预付款保函或不具备施工条件的工程，发包人不预付工程款</w:t>
      </w:r>
      <w:r>
        <w:rPr>
          <w:rFonts w:hint="eastAsia" w:ascii="宋体" w:hAnsi="宋体" w:eastAsia="宋体" w:cs="宋体"/>
          <w:color w:val="auto"/>
          <w:szCs w:val="21"/>
          <w:highlight w:val="none"/>
          <w:u w:val="none"/>
          <w:lang w:eastAsia="zh-CN"/>
        </w:rPr>
        <w:t>。</w:t>
      </w:r>
    </w:p>
    <w:p w14:paraId="50675B82">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预付款扣回的方式：</w:t>
      </w:r>
      <w:bookmarkStart w:id="465" w:name="EBe3f7fcc2028b48aeb29f900d6b268cbb"/>
      <w:r>
        <w:rPr>
          <w:rFonts w:hint="eastAsia" w:ascii="宋体" w:hAnsi="宋体" w:eastAsia="宋体" w:cs="宋体"/>
          <w:color w:val="auto"/>
          <w:szCs w:val="21"/>
          <w:highlight w:val="none"/>
          <w:u w:val="single"/>
        </w:rPr>
        <w:t>当已完工程量达到合同金额（不含暂列金额和暂估价）的</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0%前，预付款应全部抵扣完毕</w:t>
      </w:r>
      <w:bookmarkEnd w:id="465"/>
      <w:r>
        <w:rPr>
          <w:rFonts w:hint="eastAsia" w:ascii="宋体" w:hAnsi="宋体" w:eastAsia="宋体" w:cs="宋体"/>
          <w:color w:val="auto"/>
          <w:szCs w:val="21"/>
          <w:highlight w:val="none"/>
        </w:rPr>
        <w:t>。</w:t>
      </w:r>
    </w:p>
    <w:p w14:paraId="7E491803">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12.2.2 预付款担保</w:t>
      </w:r>
    </w:p>
    <w:p w14:paraId="5BBE2A7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承包人提交预付款担保的期限：</w:t>
      </w:r>
      <w:bookmarkStart w:id="466" w:name="EBf4bb81ae6d4247aa893872808d17ee64"/>
      <w:r>
        <w:rPr>
          <w:rFonts w:hint="eastAsia" w:ascii="宋体" w:hAnsi="宋体" w:eastAsia="宋体" w:cs="宋体"/>
          <w:color w:val="auto"/>
          <w:szCs w:val="21"/>
          <w:highlight w:val="none"/>
          <w:u w:val="single"/>
        </w:rPr>
        <w:t>凡是未收到承包人提供对等金额的预付款保函或不具备施工条件的工程，发包人不预付工程款</w:t>
      </w:r>
      <w:bookmarkEnd w:id="466"/>
      <w:r>
        <w:rPr>
          <w:rFonts w:hint="eastAsia" w:ascii="宋体" w:hAnsi="宋体" w:eastAsia="宋体" w:cs="宋体"/>
          <w:color w:val="auto"/>
          <w:szCs w:val="21"/>
          <w:highlight w:val="none"/>
        </w:rPr>
        <w:t>。</w:t>
      </w:r>
    </w:p>
    <w:p w14:paraId="7AAA3F0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预付款担保的形式为：</w:t>
      </w:r>
      <w:bookmarkStart w:id="467" w:name="EB16aa7b8798734e8e97f312d6fcc108f4"/>
      <w:r>
        <w:rPr>
          <w:rFonts w:hint="eastAsia" w:ascii="宋体" w:hAnsi="宋体" w:eastAsia="宋体" w:cs="宋体"/>
          <w:color w:val="auto"/>
          <w:szCs w:val="21"/>
          <w:highlight w:val="none"/>
          <w:u w:val="single"/>
        </w:rPr>
        <w:t>转账、保函等各类有效形式</w:t>
      </w:r>
      <w:bookmarkEnd w:id="467"/>
      <w:r>
        <w:rPr>
          <w:rFonts w:hint="eastAsia" w:ascii="宋体" w:hAnsi="宋体" w:eastAsia="宋体" w:cs="宋体"/>
          <w:color w:val="auto"/>
          <w:szCs w:val="21"/>
          <w:highlight w:val="none"/>
        </w:rPr>
        <w:t>。</w:t>
      </w:r>
    </w:p>
    <w:p w14:paraId="557A294D">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 计量</w:t>
      </w:r>
    </w:p>
    <w:p w14:paraId="55AE7381">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12.3.1 计量原则</w:t>
      </w:r>
    </w:p>
    <w:p w14:paraId="074139F2">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工程量计算规则：</w:t>
      </w:r>
      <w:bookmarkStart w:id="468" w:name="EBd27266b647334dd28f4a53afbac436ff"/>
      <w:r>
        <w:rPr>
          <w:rFonts w:hint="eastAsia" w:ascii="宋体" w:hAnsi="宋体" w:eastAsia="宋体" w:cs="宋体"/>
          <w:color w:val="auto"/>
          <w:szCs w:val="21"/>
          <w:highlight w:val="none"/>
          <w:u w:val="single"/>
        </w:rPr>
        <w:t>与投标报价方式相对应的现行计量规则</w:t>
      </w:r>
      <w:bookmarkEnd w:id="468"/>
      <w:r>
        <w:rPr>
          <w:rFonts w:hint="eastAsia" w:ascii="宋体" w:hAnsi="宋体" w:eastAsia="宋体" w:cs="宋体"/>
          <w:color w:val="auto"/>
          <w:szCs w:val="21"/>
          <w:highlight w:val="none"/>
        </w:rPr>
        <w:t>。</w:t>
      </w:r>
    </w:p>
    <w:p w14:paraId="6709B34E">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12.3.2 计量周期</w:t>
      </w:r>
    </w:p>
    <w:p w14:paraId="2DBEEB4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关于计量周期的约定；</w:t>
      </w:r>
      <w:bookmarkStart w:id="469" w:name="EB59f54a05a2e74f3da059aa25dd8a5b29"/>
      <w:r>
        <w:rPr>
          <w:rFonts w:hint="eastAsia" w:ascii="宋体" w:hAnsi="宋体" w:eastAsia="宋体" w:cs="宋体"/>
          <w:color w:val="auto"/>
          <w:szCs w:val="21"/>
          <w:highlight w:val="none"/>
          <w:u w:val="single"/>
        </w:rPr>
        <w:t>经发包人书面审批同意</w:t>
      </w:r>
      <w:bookmarkEnd w:id="469"/>
      <w:r>
        <w:rPr>
          <w:rFonts w:hint="eastAsia" w:ascii="宋体" w:hAnsi="宋体" w:eastAsia="宋体" w:cs="宋体"/>
          <w:color w:val="auto"/>
          <w:szCs w:val="21"/>
          <w:highlight w:val="none"/>
        </w:rPr>
        <w:t>。</w:t>
      </w:r>
    </w:p>
    <w:p w14:paraId="45AB28D0">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12.3.3 单价合同的计量</w:t>
      </w:r>
    </w:p>
    <w:p w14:paraId="22EEA99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关于单价合同计量的约定：</w:t>
      </w:r>
      <w:bookmarkStart w:id="470" w:name="EB6ebecd0f24824d49a0137f734a488f80"/>
      <w:r>
        <w:rPr>
          <w:rFonts w:hint="eastAsia" w:ascii="宋体" w:hAnsi="宋体" w:eastAsia="宋体" w:cs="宋体"/>
          <w:color w:val="auto"/>
          <w:szCs w:val="21"/>
          <w:highlight w:val="none"/>
          <w:u w:val="single"/>
        </w:rPr>
        <w:t>应</w:t>
      </w:r>
      <w:bookmarkEnd w:id="470"/>
      <w:r>
        <w:rPr>
          <w:rFonts w:hint="eastAsia" w:ascii="宋体" w:hAnsi="宋体" w:eastAsia="宋体" w:cs="宋体"/>
          <w:color w:val="auto"/>
          <w:szCs w:val="21"/>
          <w:highlight w:val="none"/>
          <w:u w:val="single"/>
        </w:rPr>
        <w:t>结合施工图纸以实际发生的有效工程量为结算标准，建设单位有权对工程范围内现有表层耕植土、适用回填的土石方及拆除物残值主张所有权。施工前的原始状况、隐蔽工程、合同外工程等实行项目建设单位、监理单位、施工单位三方签证，跟踪审计机构共同鉴证的“四方签证”制度。各方均应留存现场影像、文字等原始数据，并作为建设资金拨付评审的佐证材料</w:t>
      </w:r>
      <w:r>
        <w:rPr>
          <w:rFonts w:hint="eastAsia" w:ascii="宋体" w:hAnsi="宋体" w:eastAsia="宋体" w:cs="宋体"/>
          <w:color w:val="auto"/>
          <w:szCs w:val="21"/>
          <w:highlight w:val="none"/>
        </w:rPr>
        <w:t>。</w:t>
      </w:r>
    </w:p>
    <w:p w14:paraId="7B6DD942">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12.3.4 总价合同的计量</w:t>
      </w:r>
    </w:p>
    <w:p w14:paraId="2471CC03">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关于总价合同计量的约定：</w:t>
      </w:r>
      <w:bookmarkStart w:id="471" w:name="EBe714171bb71043389718b03e114470e1"/>
      <w:r>
        <w:rPr>
          <w:rFonts w:hint="eastAsia" w:ascii="宋体" w:hAnsi="宋体" w:eastAsia="宋体" w:cs="宋体"/>
          <w:color w:val="auto"/>
          <w:szCs w:val="21"/>
          <w:highlight w:val="none"/>
        </w:rPr>
        <w:t>/</w:t>
      </w:r>
      <w:bookmarkEnd w:id="471"/>
      <w:r>
        <w:rPr>
          <w:rFonts w:hint="eastAsia" w:ascii="宋体" w:hAnsi="宋体" w:eastAsia="宋体" w:cs="宋体"/>
          <w:color w:val="auto"/>
          <w:szCs w:val="21"/>
          <w:highlight w:val="none"/>
        </w:rPr>
        <w:t>。</w:t>
      </w:r>
    </w:p>
    <w:p w14:paraId="6A1BEBC6">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12.3.5总价合同采用支付分解表计量支付的，是否适用第12.3.4 项〔总价合同的计量〕约定进行计量：</w:t>
      </w:r>
      <w:bookmarkStart w:id="472" w:name="EB64295323eb3041e596ee4c5393942cf9"/>
      <w:r>
        <w:rPr>
          <w:rFonts w:hint="eastAsia" w:ascii="宋体" w:hAnsi="宋体" w:eastAsia="宋体" w:cs="宋体"/>
          <w:color w:val="auto"/>
          <w:szCs w:val="21"/>
          <w:highlight w:val="none"/>
        </w:rPr>
        <w:t>/</w:t>
      </w:r>
      <w:bookmarkEnd w:id="472"/>
      <w:r>
        <w:rPr>
          <w:rFonts w:hint="eastAsia" w:ascii="宋体" w:hAnsi="宋体" w:eastAsia="宋体" w:cs="宋体"/>
          <w:color w:val="auto"/>
          <w:szCs w:val="21"/>
          <w:highlight w:val="none"/>
        </w:rPr>
        <w:t>。</w:t>
      </w:r>
    </w:p>
    <w:p w14:paraId="6F874575">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12.3.6 其他价格形式合同的计量</w:t>
      </w:r>
    </w:p>
    <w:p w14:paraId="50FBC3D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其他价格形式的计量方式和程序：</w:t>
      </w:r>
      <w:bookmarkStart w:id="473" w:name="EBc25bc19eb47a49e398ccaa76dc6ca5c9"/>
      <w:r>
        <w:rPr>
          <w:rFonts w:hint="eastAsia" w:ascii="宋体" w:hAnsi="宋体" w:eastAsia="宋体" w:cs="宋体"/>
          <w:color w:val="auto"/>
          <w:szCs w:val="21"/>
          <w:highlight w:val="none"/>
        </w:rPr>
        <w:t>/</w:t>
      </w:r>
      <w:bookmarkEnd w:id="473"/>
      <w:r>
        <w:rPr>
          <w:rFonts w:hint="eastAsia" w:ascii="宋体" w:hAnsi="宋体" w:eastAsia="宋体" w:cs="宋体"/>
          <w:color w:val="auto"/>
          <w:szCs w:val="21"/>
          <w:highlight w:val="none"/>
        </w:rPr>
        <w:t>。</w:t>
      </w:r>
    </w:p>
    <w:p w14:paraId="35E7AA9C">
      <w:pPr>
        <w:pageBreakBefore w:val="0"/>
        <w:widowControl w:val="0"/>
        <w:spacing w:after="120" w:line="400" w:lineRule="exact"/>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 工程进度款支付</w:t>
      </w:r>
    </w:p>
    <w:p w14:paraId="2BC1708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12.4.1 付款周期</w:t>
      </w:r>
    </w:p>
    <w:p w14:paraId="370D266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关于付款周期的约定：</w:t>
      </w:r>
      <w:bookmarkStart w:id="474" w:name="EBe9dda42c098b4f57a793ee2bced532e3"/>
      <w:r>
        <w:rPr>
          <w:rFonts w:hint="eastAsia" w:ascii="宋体" w:hAnsi="宋体" w:eastAsia="宋体" w:cs="宋体"/>
          <w:color w:val="auto"/>
          <w:szCs w:val="21"/>
          <w:highlight w:val="none"/>
          <w:u w:val="single"/>
        </w:rPr>
        <w:t>工程施工期间甲方按不超过监理、甲方核定已完工程量的</w:t>
      </w:r>
      <w:r>
        <w:rPr>
          <w:rFonts w:hint="eastAsia" w:ascii="宋体" w:hAnsi="宋体" w:eastAsia="宋体" w:cs="宋体"/>
          <w:color w:val="auto"/>
          <w:szCs w:val="21"/>
          <w:highlight w:val="none"/>
          <w:u w:val="single"/>
          <w:lang w:val="en-US" w:eastAsia="zh-CN"/>
        </w:rPr>
        <w:t>8</w:t>
      </w:r>
      <w:r>
        <w:rPr>
          <w:rFonts w:hint="eastAsia" w:ascii="宋体" w:hAnsi="宋体" w:eastAsia="宋体" w:cs="宋体"/>
          <w:color w:val="auto"/>
          <w:szCs w:val="21"/>
          <w:highlight w:val="none"/>
          <w:u w:val="single"/>
        </w:rPr>
        <w:t>0%向乙方支付工程进度款(甲方收到乙方提供的相应金额的正规发票后10个工作日内支付)；工程竣工验收合格，完成工程结算审计并将档案、管养等工程资料按甲方要求全部移交后，甲方按不超过丹阳市固定资产投资审计中心出具结算审计价的90%向承包人支付工程款（含已支付进度款）(甲方收到乙方提供的相应金额的正规发票后10个工作日内支付)；待项目缺陷责任期到期后，甲方凭丹阳市财政投资评审中心出具的竣工财务决算评审结论付清尾款</w:t>
      </w:r>
      <w:r>
        <w:rPr>
          <w:rFonts w:hint="eastAsia" w:ascii="宋体" w:hAnsi="宋体" w:eastAsia="宋体" w:cs="宋体"/>
          <w:color w:val="auto"/>
          <w:szCs w:val="21"/>
          <w:highlight w:val="none"/>
        </w:rPr>
        <w:t xml:space="preserve">。 </w:t>
      </w:r>
      <w:bookmarkEnd w:id="474"/>
    </w:p>
    <w:p w14:paraId="37ADD7F5">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12.4.2 进度付款申请单的编制</w:t>
      </w:r>
    </w:p>
    <w:p w14:paraId="03B6D81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关于进度付款申请单编制的约定：</w:t>
      </w:r>
      <w:bookmarkStart w:id="475" w:name="EB2e13f3265b0b4842955db15bf2abe2f9"/>
      <w:r>
        <w:rPr>
          <w:rFonts w:hint="eastAsia" w:ascii="宋体" w:hAnsi="宋体" w:eastAsia="宋体" w:cs="宋体"/>
          <w:color w:val="auto"/>
          <w:szCs w:val="21"/>
          <w:highlight w:val="none"/>
          <w:u w:val="single"/>
        </w:rPr>
        <w:t>根据</w:t>
      </w:r>
      <w:r>
        <w:rPr>
          <w:rFonts w:hint="eastAsia" w:ascii="宋体" w:hAnsi="宋体" w:cs="宋体"/>
          <w:color w:val="auto"/>
          <w:szCs w:val="21"/>
          <w:highlight w:val="none"/>
          <w:u w:val="single"/>
          <w:lang w:eastAsia="zh-CN"/>
        </w:rPr>
        <w:t>发包人</w:t>
      </w:r>
      <w:r>
        <w:rPr>
          <w:rFonts w:hint="eastAsia" w:ascii="宋体" w:hAnsi="宋体" w:eastAsia="宋体" w:cs="宋体"/>
          <w:color w:val="auto"/>
          <w:szCs w:val="21"/>
          <w:highlight w:val="none"/>
          <w:u w:val="single"/>
        </w:rPr>
        <w:t>、监理</w:t>
      </w:r>
      <w:r>
        <w:rPr>
          <w:rFonts w:hint="eastAsia" w:ascii="宋体" w:hAnsi="宋体" w:cs="宋体"/>
          <w:color w:val="auto"/>
          <w:szCs w:val="21"/>
          <w:highlight w:val="none"/>
          <w:u w:val="single"/>
          <w:lang w:eastAsia="zh-CN"/>
        </w:rPr>
        <w:t>人</w:t>
      </w:r>
      <w:r>
        <w:rPr>
          <w:rFonts w:hint="eastAsia" w:ascii="宋体" w:hAnsi="宋体" w:eastAsia="宋体" w:cs="宋体"/>
          <w:color w:val="auto"/>
          <w:szCs w:val="21"/>
          <w:highlight w:val="none"/>
          <w:u w:val="single"/>
        </w:rPr>
        <w:t>的要求</w:t>
      </w:r>
      <w:bookmarkEnd w:id="475"/>
      <w:r>
        <w:rPr>
          <w:rFonts w:hint="eastAsia" w:ascii="宋体" w:hAnsi="宋体" w:eastAsia="宋体" w:cs="宋体"/>
          <w:color w:val="auto"/>
          <w:szCs w:val="21"/>
          <w:highlight w:val="none"/>
        </w:rPr>
        <w:t>。</w:t>
      </w:r>
    </w:p>
    <w:p w14:paraId="46E5B417">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12.4.3 进度付款申请单的提交</w:t>
      </w:r>
    </w:p>
    <w:p w14:paraId="5624FF7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（1）单价合同进度付款申请单提交的约定：</w:t>
      </w:r>
      <w:r>
        <w:rPr>
          <w:rFonts w:hint="eastAsia" w:ascii="宋体" w:hAnsi="宋体" w:eastAsia="宋体" w:cs="宋体"/>
          <w:color w:val="auto"/>
          <w:szCs w:val="21"/>
          <w:highlight w:val="none"/>
          <w:u w:val="single"/>
        </w:rPr>
        <w:t>根据</w:t>
      </w:r>
      <w:r>
        <w:rPr>
          <w:rFonts w:hint="eastAsia" w:ascii="宋体" w:hAnsi="宋体" w:cs="宋体"/>
          <w:color w:val="auto"/>
          <w:szCs w:val="21"/>
          <w:highlight w:val="none"/>
          <w:u w:val="single"/>
          <w:lang w:eastAsia="zh-CN"/>
        </w:rPr>
        <w:t>发包人</w:t>
      </w:r>
      <w:r>
        <w:rPr>
          <w:rFonts w:hint="eastAsia" w:ascii="宋体" w:hAnsi="宋体" w:eastAsia="宋体" w:cs="宋体"/>
          <w:color w:val="auto"/>
          <w:szCs w:val="21"/>
          <w:highlight w:val="none"/>
          <w:u w:val="single"/>
        </w:rPr>
        <w:t>、监理</w:t>
      </w:r>
      <w:r>
        <w:rPr>
          <w:rFonts w:hint="eastAsia" w:ascii="宋体" w:hAnsi="宋体" w:cs="宋体"/>
          <w:color w:val="auto"/>
          <w:szCs w:val="21"/>
          <w:highlight w:val="none"/>
          <w:u w:val="single"/>
          <w:lang w:eastAsia="zh-CN"/>
        </w:rPr>
        <w:t>人</w:t>
      </w:r>
      <w:r>
        <w:rPr>
          <w:rFonts w:hint="eastAsia" w:ascii="宋体" w:hAnsi="宋体" w:eastAsia="宋体" w:cs="宋体"/>
          <w:color w:val="auto"/>
          <w:szCs w:val="21"/>
          <w:highlight w:val="none"/>
          <w:u w:val="single"/>
        </w:rPr>
        <w:t>的要求</w:t>
      </w:r>
      <w:r>
        <w:rPr>
          <w:rFonts w:hint="eastAsia" w:ascii="宋体" w:hAnsi="宋体" w:eastAsia="宋体" w:cs="宋体"/>
          <w:color w:val="auto"/>
          <w:szCs w:val="21"/>
          <w:highlight w:val="none"/>
        </w:rPr>
        <w:t>。</w:t>
      </w:r>
    </w:p>
    <w:p w14:paraId="1928DDB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（2）总价合同进度付款申请单提交的约定：</w:t>
      </w:r>
      <w:bookmarkStart w:id="476" w:name="EBb8a7e2b3607c40d19d5e8742a9e8a590"/>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bookmarkEnd w:id="476"/>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616CC7C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（3）其他价格形式合同进度付款申请单提交的约定：</w:t>
      </w:r>
      <w:bookmarkStart w:id="477" w:name="EB8c5b60e92c32402c836aaf3d9d1bfc2a"/>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bookmarkEnd w:id="477"/>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2A7E377F">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12.4.4 进度款审核和支付</w:t>
      </w:r>
    </w:p>
    <w:p w14:paraId="3760FA43">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（1）监理人审查并报送发包人的期限：</w:t>
      </w:r>
      <w:bookmarkStart w:id="478" w:name="EB7883780a1cc74d5b91d12a5f0883b3b9"/>
      <w:r>
        <w:rPr>
          <w:rFonts w:hint="eastAsia" w:ascii="宋体" w:hAnsi="宋体" w:eastAsia="宋体" w:cs="宋体"/>
          <w:color w:val="auto"/>
          <w:szCs w:val="21"/>
          <w:highlight w:val="none"/>
          <w:u w:val="single"/>
        </w:rPr>
        <w:t>执行监理合同约定</w:t>
      </w:r>
      <w:bookmarkEnd w:id="478"/>
      <w:r>
        <w:rPr>
          <w:rFonts w:hint="eastAsia" w:ascii="宋体" w:hAnsi="宋体" w:eastAsia="宋体" w:cs="宋体"/>
          <w:color w:val="auto"/>
          <w:szCs w:val="21"/>
          <w:highlight w:val="none"/>
        </w:rPr>
        <w:t>。</w:t>
      </w:r>
    </w:p>
    <w:p w14:paraId="3029A7A3">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发包人完成审批并签发进度款支付证书的期限：</w:t>
      </w:r>
      <w:bookmarkStart w:id="479" w:name="EB230db849cb864f589499577b73b230c7"/>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bookmarkEnd w:id="479"/>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115B0B3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（2）发包人支付进度款的期限：</w:t>
      </w:r>
      <w:bookmarkStart w:id="480" w:name="EBb43ff779f80f4b999b79b1f09c3abd66"/>
      <w:r>
        <w:rPr>
          <w:rFonts w:hint="eastAsia" w:ascii="宋体" w:hAnsi="宋体" w:eastAsia="宋体" w:cs="宋体"/>
          <w:color w:val="auto"/>
          <w:szCs w:val="21"/>
          <w:highlight w:val="none"/>
          <w:u w:val="single"/>
        </w:rPr>
        <w:t>按照12.4.1的约定执行</w:t>
      </w:r>
      <w:bookmarkEnd w:id="480"/>
      <w:r>
        <w:rPr>
          <w:rFonts w:hint="eastAsia" w:ascii="宋体" w:hAnsi="宋体" w:eastAsia="宋体" w:cs="宋体"/>
          <w:color w:val="auto"/>
          <w:szCs w:val="21"/>
          <w:highlight w:val="none"/>
        </w:rPr>
        <w:t>。</w:t>
      </w:r>
    </w:p>
    <w:p w14:paraId="26154C1F">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发包人逾期支付进度款的违约金的计算方式：</w:t>
      </w:r>
      <w:r>
        <w:rPr>
          <w:rFonts w:hint="eastAsia" w:ascii="宋体" w:hAnsi="宋体" w:eastAsia="宋体" w:cs="宋体"/>
          <w:color w:val="auto"/>
          <w:szCs w:val="21"/>
          <w:highlight w:val="none"/>
          <w:u w:val="single"/>
        </w:rPr>
        <w:t>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hint="eastAsia" w:ascii="宋体" w:hAnsi="宋体" w:eastAsia="宋体" w:cs="宋体"/>
          <w:color w:val="auto"/>
          <w:szCs w:val="21"/>
          <w:highlight w:val="none"/>
        </w:rPr>
        <w:t>。</w:t>
      </w:r>
    </w:p>
    <w:p w14:paraId="76D75DA6">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12.4.6 支付分解表的编制</w:t>
      </w:r>
    </w:p>
    <w:p w14:paraId="70292C9F">
      <w:pPr>
        <w:pageBreakBefore w:val="0"/>
        <w:widowControl w:val="0"/>
        <w:spacing w:line="400" w:lineRule="exact"/>
        <w:ind w:left="4200" w:hanging="37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2、总价合同支付分解表的编制与审批：</w:t>
      </w:r>
      <w:bookmarkStart w:id="481" w:name="EB61b302f59b77461d96a504b72bf55c9f"/>
      <w:r>
        <w:rPr>
          <w:rFonts w:hint="eastAsia" w:ascii="宋体" w:hAnsi="宋体" w:eastAsia="宋体" w:cs="宋体"/>
          <w:color w:val="auto"/>
          <w:szCs w:val="21"/>
          <w:highlight w:val="none"/>
          <w:u w:val="single"/>
        </w:rPr>
        <w:t>/</w:t>
      </w:r>
      <w:bookmarkEnd w:id="481"/>
      <w:r>
        <w:rPr>
          <w:rFonts w:hint="eastAsia" w:ascii="宋体" w:hAnsi="宋体" w:eastAsia="宋体" w:cs="宋体"/>
          <w:color w:val="auto"/>
          <w:szCs w:val="21"/>
          <w:highlight w:val="none"/>
        </w:rPr>
        <w:t>。</w:t>
      </w:r>
    </w:p>
    <w:p w14:paraId="37D621E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3、单价合同的总价项目支付分解表的编制与审批：</w:t>
      </w:r>
      <w:bookmarkStart w:id="482" w:name="EB03cb45d60b2949c68096f515a4d80a28"/>
      <w:r>
        <w:rPr>
          <w:rFonts w:hint="eastAsia" w:ascii="宋体" w:hAnsi="宋体" w:eastAsia="宋体" w:cs="宋体"/>
          <w:color w:val="auto"/>
          <w:szCs w:val="21"/>
          <w:highlight w:val="none"/>
          <w:u w:val="single"/>
        </w:rPr>
        <w:t>按中标价折算为费率与已完工程产值同期审批</w:t>
      </w:r>
      <w:bookmarkEnd w:id="482"/>
      <w:r>
        <w:rPr>
          <w:rFonts w:hint="eastAsia" w:ascii="宋体" w:hAnsi="宋体" w:eastAsia="宋体" w:cs="宋体"/>
          <w:color w:val="auto"/>
          <w:szCs w:val="21"/>
          <w:highlight w:val="none"/>
        </w:rPr>
        <w:t>。</w:t>
      </w:r>
    </w:p>
    <w:p w14:paraId="035874A6">
      <w:pPr>
        <w:pageBreakBefore w:val="0"/>
        <w:widowControl w:val="0"/>
        <w:spacing w:after="120" w:line="400" w:lineRule="exact"/>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12.6 人工费（农民工工资）</w:t>
      </w:r>
    </w:p>
    <w:p w14:paraId="433F9249">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12.6.1 工程款分账管理</w:t>
      </w:r>
    </w:p>
    <w:p w14:paraId="7442445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实施人工费与其他工程款分账管理。发包人将工程款中的人工费部分单独列出，拨付至承包人在工程所在地银行开设的农民工工资专用账户，在拨付进度款时抵扣。</w:t>
      </w:r>
    </w:p>
    <w:p w14:paraId="56A95F5B">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12.6.2 人工费支付方式</w:t>
      </w:r>
    </w:p>
    <w:p w14:paraId="05296564">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发包人应当及时足额支付承包人人工费，人工费支付采用以下第</w:t>
      </w:r>
      <w:bookmarkStart w:id="483" w:name="EB6c6e2d59392c417996267243f010a522"/>
      <w:bookmarkEnd w:id="483"/>
      <w:r>
        <w:rPr>
          <w:rFonts w:hint="eastAsia" w:ascii="宋体" w:hAnsi="宋体" w:eastAsia="宋体" w:cs="宋体"/>
          <w:color w:val="auto"/>
          <w:szCs w:val="21"/>
          <w:highlight w:val="none"/>
        </w:rPr>
        <w:t>种方式：</w:t>
      </w:r>
    </w:p>
    <w:p w14:paraId="17A3ED02">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（1）按月预付。在合同工期内，每月</w:t>
      </w:r>
      <w:bookmarkStart w:id="484" w:name="EB792b733834644db5b5999b70eea3e5b2"/>
      <w:bookmarkEnd w:id="484"/>
      <w:r>
        <w:rPr>
          <w:rFonts w:hint="eastAsia" w:ascii="宋体" w:hAnsi="宋体" w:eastAsia="宋体" w:cs="宋体"/>
          <w:color w:val="auto"/>
          <w:szCs w:val="21"/>
          <w:highlight w:val="none"/>
        </w:rPr>
        <w:t>日前将本月施工所需人工费（不低于该工程全部人工费按合同工期的月平均额）支付至承包人农民工工资专用账户。</w:t>
      </w:r>
    </w:p>
    <w:p w14:paraId="62B214F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（2）按月支付。发包人根据承包人每月提报的已完成施工产值中的人工费清单，按月将人工费支付至承包人农民工工资专用账户。</w:t>
      </w:r>
    </w:p>
    <w:p w14:paraId="02CD0EA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（3）按比例支付。发包人于每月</w:t>
      </w:r>
      <w:bookmarkStart w:id="485" w:name="EBd1f71dfb460740d0ab973080d55a9816"/>
      <w:bookmarkEnd w:id="485"/>
      <w:r>
        <w:rPr>
          <w:rFonts w:hint="eastAsia" w:ascii="宋体" w:hAnsi="宋体" w:eastAsia="宋体" w:cs="宋体"/>
          <w:color w:val="auto"/>
          <w:szCs w:val="21"/>
          <w:highlight w:val="none"/>
        </w:rPr>
        <w:t>日前，按照双方约定的月度工程款的</w:t>
      </w:r>
      <w:bookmarkStart w:id="486" w:name="EBecb591cdf44e41e39ec247b2b802c77c"/>
      <w:bookmarkEnd w:id="486"/>
      <w:r>
        <w:rPr>
          <w:rFonts w:hint="eastAsia" w:ascii="宋体" w:hAnsi="宋体" w:eastAsia="宋体" w:cs="宋体"/>
          <w:color w:val="auto"/>
          <w:szCs w:val="21"/>
          <w:highlight w:val="none"/>
        </w:rPr>
        <w:t>%（不低于建设主管部门规定），存入承包人开设的农民工工资款专用账户。</w:t>
      </w:r>
    </w:p>
    <w:p w14:paraId="613F65B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（4）发包人和承包人依法约定的其他支付方式：</w:t>
      </w:r>
    </w:p>
    <w:p w14:paraId="78E5A2FE">
      <w:pPr>
        <w:pStyle w:val="5"/>
        <w:pageBreakBefore w:val="0"/>
        <w:widowControl w:val="0"/>
        <w:spacing w:before="120" w:after="120" w:line="400" w:lineRule="exact"/>
        <w:rPr>
          <w:rFonts w:hint="eastAsia" w:ascii="宋体" w:hAnsi="宋体" w:eastAsia="宋体" w:cs="宋体"/>
          <w:b w:val="0"/>
          <w:color w:val="auto"/>
          <w:sz w:val="21"/>
          <w:szCs w:val="21"/>
          <w:highlight w:val="none"/>
        </w:rPr>
      </w:pPr>
      <w:bookmarkStart w:id="487" w:name="EBb8e3d1c235d94f228eba9e66746ab261"/>
      <w:bookmarkEnd w:id="487"/>
      <w:r>
        <w:rPr>
          <w:rFonts w:hint="eastAsia" w:ascii="宋体" w:hAnsi="宋体" w:eastAsia="宋体" w:cs="宋体"/>
          <w:b w:val="0"/>
          <w:color w:val="auto"/>
          <w:sz w:val="21"/>
          <w:szCs w:val="21"/>
          <w:highlight w:val="none"/>
        </w:rPr>
        <w:t>13. 验收和工程试车</w:t>
      </w:r>
    </w:p>
    <w:p w14:paraId="7467092D">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 分部分项工程验收</w:t>
      </w:r>
    </w:p>
    <w:p w14:paraId="0D251EF5">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13.1.2监理人不能按时进行验收时，应提前</w:t>
      </w:r>
      <w:bookmarkStart w:id="488" w:name="EBb95ad652d9144b9781840d24af19b278"/>
      <w:r>
        <w:rPr>
          <w:rFonts w:hint="eastAsia" w:ascii="宋体" w:hAnsi="宋体" w:eastAsia="宋体" w:cs="宋体"/>
          <w:color w:val="auto"/>
          <w:szCs w:val="21"/>
          <w:highlight w:val="none"/>
          <w:u w:val="single"/>
        </w:rPr>
        <w:t>8</w:t>
      </w:r>
      <w:bookmarkEnd w:id="488"/>
      <w:r>
        <w:rPr>
          <w:rFonts w:hint="eastAsia" w:ascii="宋体" w:hAnsi="宋体" w:eastAsia="宋体" w:cs="宋体"/>
          <w:color w:val="auto"/>
          <w:szCs w:val="21"/>
          <w:highlight w:val="none"/>
        </w:rPr>
        <w:t>小时提交书面延期要求。</w:t>
      </w:r>
    </w:p>
    <w:p w14:paraId="28F3C23C">
      <w:pPr>
        <w:pageBreakBefore w:val="0"/>
        <w:widowControl w:val="0"/>
        <w:spacing w:line="400" w:lineRule="exact"/>
        <w:ind w:firstLine="42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关于延期最长不得超过：</w:t>
      </w:r>
      <w:bookmarkStart w:id="489" w:name="EB3c3cba56bd2f423581ca371ef7556ca0"/>
      <w:r>
        <w:rPr>
          <w:rFonts w:hint="eastAsia" w:ascii="宋体" w:hAnsi="宋体" w:eastAsia="宋体" w:cs="宋体"/>
          <w:color w:val="auto"/>
          <w:szCs w:val="21"/>
          <w:highlight w:val="none"/>
          <w:u w:val="single"/>
        </w:rPr>
        <w:t>24</w:t>
      </w:r>
      <w:bookmarkEnd w:id="489"/>
      <w:r>
        <w:rPr>
          <w:rFonts w:hint="eastAsia" w:ascii="宋体" w:hAnsi="宋体" w:eastAsia="宋体" w:cs="宋体"/>
          <w:color w:val="auto"/>
          <w:szCs w:val="21"/>
          <w:highlight w:val="none"/>
        </w:rPr>
        <w:t>小时。</w:t>
      </w:r>
    </w:p>
    <w:p w14:paraId="43944A40">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 竣工验收</w:t>
      </w:r>
    </w:p>
    <w:p w14:paraId="7E4B21F0">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13.2.2竣工验收程序</w:t>
      </w:r>
    </w:p>
    <w:p w14:paraId="43AAE421">
      <w:pPr>
        <w:pageBreakBefore w:val="0"/>
        <w:widowControl w:val="0"/>
        <w:spacing w:line="400" w:lineRule="exact"/>
        <w:ind w:left="4200" w:hanging="378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关于竣工验收程序的约定：</w:t>
      </w:r>
      <w:bookmarkStart w:id="490" w:name="EB7edad710c2a748c6b4d20f99404ab18f"/>
      <w:r>
        <w:rPr>
          <w:rFonts w:hint="eastAsia" w:ascii="宋体" w:hAnsi="宋体" w:eastAsia="宋体" w:cs="宋体"/>
          <w:color w:val="auto"/>
          <w:szCs w:val="21"/>
          <w:highlight w:val="none"/>
          <w:u w:val="single"/>
        </w:rPr>
        <w:t>执行通用条款13.2.2</w:t>
      </w:r>
      <w:bookmarkEnd w:id="490"/>
      <w:r>
        <w:rPr>
          <w:rFonts w:hint="eastAsia" w:ascii="宋体" w:hAnsi="宋体" w:eastAsia="宋体" w:cs="宋体"/>
          <w:color w:val="auto"/>
          <w:szCs w:val="21"/>
          <w:highlight w:val="none"/>
        </w:rPr>
        <w:t>。</w:t>
      </w:r>
    </w:p>
    <w:p w14:paraId="1BEB697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发包人不按照本项约定组织竣工验收、颁发工程接收证书的违约金的计算方法：</w:t>
      </w:r>
      <w:bookmarkStart w:id="491" w:name="EB847b0217f64c43869b1fca600b6d0a98"/>
      <w:r>
        <w:rPr>
          <w:rFonts w:hint="eastAsia" w:ascii="宋体" w:hAnsi="宋体" w:eastAsia="宋体" w:cs="宋体"/>
          <w:color w:val="auto"/>
          <w:szCs w:val="21"/>
          <w:highlight w:val="none"/>
        </w:rPr>
        <w:t>/</w:t>
      </w:r>
      <w:bookmarkEnd w:id="491"/>
      <w:r>
        <w:rPr>
          <w:rFonts w:hint="eastAsia" w:ascii="宋体" w:hAnsi="宋体" w:eastAsia="宋体" w:cs="宋体"/>
          <w:color w:val="auto"/>
          <w:szCs w:val="21"/>
          <w:highlight w:val="none"/>
        </w:rPr>
        <w:t>。</w:t>
      </w:r>
    </w:p>
    <w:p w14:paraId="468A9D9F">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13.2.5移交、接收全部与部分工程</w:t>
      </w:r>
    </w:p>
    <w:p w14:paraId="461F140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承包人向发包人移交工程的期限：</w:t>
      </w:r>
    </w:p>
    <w:p w14:paraId="133C5504">
      <w:pPr>
        <w:pageBreakBefore w:val="0"/>
        <w:widowControl w:val="0"/>
        <w:spacing w:line="400" w:lineRule="exact"/>
        <w:ind w:firstLine="420"/>
        <w:rPr>
          <w:rFonts w:hint="eastAsia" w:ascii="宋体" w:hAnsi="宋体" w:eastAsia="宋体" w:cs="宋体"/>
          <w:color w:val="auto"/>
          <w:szCs w:val="21"/>
          <w:highlight w:val="none"/>
        </w:rPr>
      </w:pPr>
      <w:bookmarkStart w:id="492" w:name="EBd001e50a91824b4ca0cb44f5758fcb6c"/>
      <w:r>
        <w:rPr>
          <w:rFonts w:hint="eastAsia" w:ascii="宋体" w:hAnsi="宋体" w:eastAsia="宋体" w:cs="宋体"/>
          <w:color w:val="auto"/>
          <w:szCs w:val="21"/>
          <w:highlight w:val="none"/>
        </w:rPr>
        <w:t>1、竣</w:t>
      </w:r>
      <w:bookmarkEnd w:id="492"/>
      <w:r>
        <w:rPr>
          <w:rFonts w:hint="eastAsia" w:ascii="宋体" w:hAnsi="宋体" w:eastAsia="宋体" w:cs="宋体"/>
          <w:color w:val="auto"/>
          <w:szCs w:val="21"/>
          <w:highlight w:val="none"/>
        </w:rPr>
        <w:t>工结算由承包人编制，并在竣工验收通过之日起，28天内向发包人递交竣工结算报告及完整的结算资料；2、竣工结算的编制方式应按《江苏省工程造价咨询业务指导规程》对建设工程结算书的要求、方法编制。3.凡结算审计核减率超过7%的，超过部分的审计费由施工单位承担，并直接在审定结算中予以折抵。</w:t>
      </w:r>
    </w:p>
    <w:p w14:paraId="42E20C83">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发包人未按本合同约定接收全部或部分工程的，违约金的计算方法为：</w:t>
      </w:r>
      <w:bookmarkStart w:id="493" w:name="EBcd20677fe0ab40acb2d933654ea082af"/>
      <w:r>
        <w:rPr>
          <w:rFonts w:hint="eastAsia" w:ascii="宋体" w:hAnsi="宋体" w:eastAsia="宋体" w:cs="宋体"/>
          <w:color w:val="auto"/>
          <w:szCs w:val="21"/>
          <w:highlight w:val="none"/>
        </w:rPr>
        <w:t>/</w:t>
      </w:r>
      <w:bookmarkEnd w:id="493"/>
      <w:r>
        <w:rPr>
          <w:rFonts w:hint="eastAsia" w:ascii="宋体" w:hAnsi="宋体" w:eastAsia="宋体" w:cs="宋体"/>
          <w:color w:val="auto"/>
          <w:szCs w:val="21"/>
          <w:highlight w:val="none"/>
        </w:rPr>
        <w:t>。</w:t>
      </w:r>
    </w:p>
    <w:p w14:paraId="7CD8E6F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承包人未按时移交工程的，违约金的计算方法为：</w:t>
      </w:r>
      <w:bookmarkStart w:id="494" w:name="EB0d2965a3f5ef4d27bf40cdba10c33acb"/>
      <w:r>
        <w:rPr>
          <w:rFonts w:hint="eastAsia" w:ascii="宋体" w:hAnsi="宋体" w:eastAsia="宋体" w:cs="宋体"/>
          <w:color w:val="auto"/>
          <w:szCs w:val="21"/>
          <w:highlight w:val="none"/>
        </w:rPr>
        <w:t>每延误一日，扣工程价款的千分之一</w:t>
      </w:r>
      <w:bookmarkEnd w:id="494"/>
      <w:r>
        <w:rPr>
          <w:rFonts w:hint="eastAsia" w:ascii="宋体" w:hAnsi="宋体" w:eastAsia="宋体" w:cs="宋体"/>
          <w:color w:val="auto"/>
          <w:szCs w:val="21"/>
          <w:highlight w:val="none"/>
        </w:rPr>
        <w:t>。</w:t>
      </w:r>
    </w:p>
    <w:p w14:paraId="7E595984">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 工程试车</w:t>
      </w:r>
    </w:p>
    <w:p w14:paraId="57109F29">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13.3.1 试车程序</w:t>
      </w:r>
    </w:p>
    <w:p w14:paraId="658CC0C4">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工程试车内容：</w:t>
      </w:r>
      <w:bookmarkStart w:id="495" w:name="EB0f0fd06d4d82435bb1c4524a22e179c5"/>
      <w:r>
        <w:rPr>
          <w:rFonts w:hint="eastAsia" w:ascii="宋体" w:hAnsi="宋体" w:eastAsia="宋体" w:cs="宋体"/>
          <w:color w:val="auto"/>
          <w:szCs w:val="21"/>
          <w:highlight w:val="none"/>
        </w:rPr>
        <w:t>/</w:t>
      </w:r>
      <w:bookmarkEnd w:id="495"/>
      <w:r>
        <w:rPr>
          <w:rFonts w:hint="eastAsia" w:ascii="宋体" w:hAnsi="宋体" w:eastAsia="宋体" w:cs="宋体"/>
          <w:color w:val="auto"/>
          <w:szCs w:val="21"/>
          <w:highlight w:val="none"/>
        </w:rPr>
        <w:t>。</w:t>
      </w:r>
    </w:p>
    <w:p w14:paraId="7CBDDAB6">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（1）单机无负荷试车费用由</w:t>
      </w:r>
      <w:bookmarkStart w:id="496" w:name="EBbc23ba363bce43cebfcf2990577bc549"/>
      <w:r>
        <w:rPr>
          <w:rFonts w:hint="eastAsia" w:ascii="宋体" w:hAnsi="宋体" w:eastAsia="宋体" w:cs="宋体"/>
          <w:color w:val="auto"/>
          <w:szCs w:val="21"/>
          <w:highlight w:val="none"/>
        </w:rPr>
        <w:t>/</w:t>
      </w:r>
      <w:bookmarkEnd w:id="496"/>
      <w:r>
        <w:rPr>
          <w:rFonts w:hint="eastAsia" w:ascii="宋体" w:hAnsi="宋体" w:eastAsia="宋体" w:cs="宋体"/>
          <w:color w:val="auto"/>
          <w:szCs w:val="21"/>
          <w:highlight w:val="none"/>
        </w:rPr>
        <w:t>承担；</w:t>
      </w:r>
    </w:p>
    <w:p w14:paraId="0927C6E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（2）无负荷联动试车费用由</w:t>
      </w:r>
      <w:bookmarkStart w:id="497" w:name="EB1e3f7e61b1b6467d8a525c011923fd1b"/>
      <w:r>
        <w:rPr>
          <w:rFonts w:hint="eastAsia" w:ascii="宋体" w:hAnsi="宋体" w:eastAsia="宋体" w:cs="宋体"/>
          <w:color w:val="auto"/>
          <w:szCs w:val="21"/>
          <w:highlight w:val="none"/>
        </w:rPr>
        <w:t>/</w:t>
      </w:r>
      <w:bookmarkEnd w:id="497"/>
      <w:r>
        <w:rPr>
          <w:rFonts w:hint="eastAsia" w:ascii="宋体" w:hAnsi="宋体" w:eastAsia="宋体" w:cs="宋体"/>
          <w:color w:val="auto"/>
          <w:szCs w:val="21"/>
          <w:highlight w:val="none"/>
        </w:rPr>
        <w:t>承担。</w:t>
      </w:r>
    </w:p>
    <w:p w14:paraId="7F062088">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13.3.3 投料试车</w:t>
      </w:r>
    </w:p>
    <w:p w14:paraId="0E097530">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关于投料试车相关事项的约定：</w:t>
      </w:r>
      <w:r>
        <w:rPr>
          <w:rFonts w:hint="eastAsia" w:ascii="宋体" w:hAnsi="宋体" w:eastAsia="宋体" w:cs="宋体"/>
          <w:color w:val="auto"/>
          <w:szCs w:val="21"/>
          <w:highlight w:val="none"/>
          <w:u w:val="single"/>
        </w:rPr>
        <w:t>投料试车费用由承包人承担</w:t>
      </w:r>
      <w:r>
        <w:rPr>
          <w:rFonts w:hint="eastAsia" w:ascii="宋体" w:hAnsi="宋体" w:eastAsia="宋体" w:cs="宋体"/>
          <w:color w:val="auto"/>
          <w:szCs w:val="21"/>
          <w:highlight w:val="none"/>
        </w:rPr>
        <w:t>。</w:t>
      </w:r>
    </w:p>
    <w:p w14:paraId="2A179CA0">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13.6 竣工退场</w:t>
      </w:r>
    </w:p>
    <w:p w14:paraId="67EDCA4C">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13.6.1 竣工退场</w:t>
      </w:r>
    </w:p>
    <w:p w14:paraId="3203707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承包人完成竣工退场的期限：</w:t>
      </w:r>
      <w:bookmarkStart w:id="498" w:name="EB672ef2e8108946dea38d00a6dca869bc"/>
      <w:r>
        <w:rPr>
          <w:rFonts w:hint="eastAsia" w:ascii="宋体" w:hAnsi="宋体" w:eastAsia="宋体" w:cs="宋体"/>
          <w:color w:val="auto"/>
          <w:szCs w:val="21"/>
          <w:highlight w:val="none"/>
        </w:rPr>
        <w:t>按照通用条款13.6.1对现场进行清理，并在工程竣工验收合格后7天内完成竣工退场，如承包人未能在7天内完成竣工退场，发包人有权暂停竣工结算，并对承包人处以中标合同价千分之一每天的罚款</w:t>
      </w:r>
      <w:bookmarkEnd w:id="498"/>
      <w:r>
        <w:rPr>
          <w:rFonts w:hint="eastAsia" w:ascii="宋体" w:hAnsi="宋体" w:eastAsia="宋体" w:cs="宋体"/>
          <w:color w:val="auto"/>
          <w:szCs w:val="21"/>
          <w:highlight w:val="none"/>
        </w:rPr>
        <w:t>。</w:t>
      </w:r>
    </w:p>
    <w:p w14:paraId="013EFA00">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14. 过程结算和竣工结算</w:t>
      </w:r>
    </w:p>
    <w:p w14:paraId="36396D8B">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过程结算与支付</w:t>
      </w:r>
    </w:p>
    <w:p w14:paraId="38C66B03">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14.1.1 关于过程结算周期及节点的约定：</w:t>
      </w:r>
      <w:r>
        <w:rPr>
          <w:rFonts w:hint="eastAsia" w:ascii="宋体" w:hAnsi="宋体" w:eastAsia="宋体" w:cs="宋体"/>
          <w:color w:val="auto"/>
          <w:szCs w:val="21"/>
          <w:highlight w:val="none"/>
          <w:u w:val="single"/>
        </w:rPr>
        <w:t>发包人应根据建设工程项目特点、重要施工节点、时间节点或进度节点，按照《江苏省房屋建筑与市政基础设施工程施工过程结算实施技术指南（试行）》的划分要求在本条款中予以明确，原则上过程结算频次不超过3次。例如：土建工程以±0.00、主体封顶、满足设计使用功能（装饰装修、消防、暖通、楼宇智能化等完成）为节点；市政工程以原地面处理及路基填筑完成、路面完成为节点</w:t>
      </w:r>
      <w:r>
        <w:rPr>
          <w:rFonts w:hint="eastAsia" w:ascii="宋体" w:hAnsi="宋体" w:eastAsia="宋体" w:cs="宋体"/>
          <w:color w:val="auto"/>
          <w:szCs w:val="21"/>
          <w:highlight w:val="none"/>
        </w:rPr>
        <w:t>。</w:t>
      </w:r>
    </w:p>
    <w:p w14:paraId="6945EF3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14.1.2 关于过程结算程序的约定：该工程属</w:t>
      </w:r>
      <w:r>
        <w:rPr>
          <w:rFonts w:hint="eastAsia" w:ascii="宋体" w:hAnsi="宋体" w:eastAsia="宋体" w:cs="宋体"/>
          <w:color w:val="auto"/>
          <w:szCs w:val="21"/>
          <w:highlight w:val="none"/>
          <w:u w:val="single"/>
        </w:rPr>
        <w:t>计划工期超过一年且批复概算超过2000万元（含）的政府投资工程，根据《关于完善我市级政府投资项目工程建设资金支付办法的通知通知》（丹政办发〔2025〕36号）的要求，实行过程结算。根据上述结算周期及节点的约定，凭有权审计机构依据施工过程中分阶段验收合格且无争议的过程结算审计报告申请付款</w:t>
      </w:r>
      <w:r>
        <w:rPr>
          <w:rFonts w:hint="eastAsia" w:ascii="宋体" w:hAnsi="宋体" w:eastAsia="宋体" w:cs="宋体"/>
          <w:color w:val="auto"/>
          <w:szCs w:val="21"/>
          <w:highlight w:val="none"/>
        </w:rPr>
        <w:t>。</w:t>
      </w:r>
    </w:p>
    <w:p w14:paraId="2BB9D60A">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过程结算所需资料：</w:t>
      </w:r>
      <w:r>
        <w:rPr>
          <w:rFonts w:hint="eastAsia" w:ascii="宋体" w:hAnsi="宋体" w:eastAsia="宋体" w:cs="宋体"/>
          <w:color w:val="auto"/>
          <w:szCs w:val="21"/>
          <w:highlight w:val="none"/>
          <w:u w:val="single"/>
        </w:rPr>
        <w:t>分部分项质量验收合格证明、有权审计机构出具的过程结算审计报告、过程结算支付申请材料</w:t>
      </w:r>
      <w:r>
        <w:rPr>
          <w:rFonts w:hint="eastAsia" w:ascii="宋体" w:hAnsi="宋体" w:eastAsia="宋体" w:cs="宋体"/>
          <w:color w:val="auto"/>
          <w:szCs w:val="21"/>
          <w:highlight w:val="none"/>
        </w:rPr>
        <w:t>。</w:t>
      </w:r>
    </w:p>
    <w:p w14:paraId="5092E851">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14.1.3 关于过程结算修正的约定：</w:t>
      </w:r>
    </w:p>
    <w:p w14:paraId="3E2416B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存在以下情形之一的，发包人和承包人均有权提出修正申请：</w:t>
      </w:r>
    </w:p>
    <w:p w14:paraId="4ED6AA21">
      <w:pPr>
        <w:pageBreakBefore w:val="0"/>
        <w:widowControl w:val="0"/>
        <w:spacing w:after="120" w:line="400" w:lineRule="exact"/>
        <w:ind w:firstLine="420"/>
        <w:outlineLvl w:val="4"/>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（1）施工过程验收不代替竣工验收，不能免除或诚轻在工程竣工验收时质量不合格承包人应承担的整改义务，施工过程结算也不应影响缺陷责任期及质量保修期。</w:t>
      </w:r>
    </w:p>
    <w:p w14:paraId="2E0071BF">
      <w:pPr>
        <w:pageBreakBefore w:val="0"/>
        <w:widowControl w:val="0"/>
        <w:spacing w:after="120" w:line="400" w:lineRule="exact"/>
        <w:ind w:firstLine="420"/>
        <w:outlineLvl w:val="4"/>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（2）以往历次已签发的过程结算支付证书在汇总和复核中发现有错、漏或重复的，应予修正。</w:t>
      </w:r>
    </w:p>
    <w:p w14:paraId="2793B4DF">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 竣工结算申请与审核</w:t>
      </w:r>
    </w:p>
    <w:p w14:paraId="4918FBF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发包人审批竣工付款申请单的期限：</w:t>
      </w:r>
    </w:p>
    <w:p w14:paraId="1F9A7299">
      <w:pPr>
        <w:pageBreakBefore w:val="0"/>
        <w:widowControl w:val="0"/>
        <w:spacing w:after="120" w:line="400" w:lineRule="exact"/>
        <w:ind w:firstLine="420"/>
        <w:outlineLvl w:val="4"/>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因该工程属于政府投资工程，工程结算须经丹阳市有权审计机构，故在未完成审计前，不得因发包人未能按期完成竣工付款申请单的审批而视为发包方已认可承包人提供的竣工付款申请单。</w:t>
      </w:r>
    </w:p>
    <w:p w14:paraId="0B0D1D6B">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发包人完成竣工付款的期限：</w:t>
      </w:r>
      <w:r>
        <w:rPr>
          <w:rFonts w:hint="eastAsia" w:ascii="宋体" w:hAnsi="宋体" w:eastAsia="宋体" w:cs="宋体"/>
          <w:color w:val="auto"/>
          <w:szCs w:val="21"/>
          <w:highlight w:val="none"/>
          <w:u w:val="single"/>
        </w:rPr>
        <w:t>执行12.4.1条。</w:t>
      </w:r>
    </w:p>
    <w:p w14:paraId="58BE5819">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关于竣工付款证书异议部分复核的方式和程序：</w:t>
      </w:r>
    </w:p>
    <w:p w14:paraId="3F448D23">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承包人应当配合丹阳市有权审计机构的结算审计工作。若承包人未履行配合义务或无正当理由（未按合同约定的计量计价方式）拒绝接受审计结果的，发包人有权暂停支付工程款，同时丹阳市有权审计机构有权直接出具审计报告。该项目为政府投资工程，最终结算价应以丹阳市有权审计机构出具的审定价为准。</w:t>
      </w:r>
    </w:p>
    <w:p w14:paraId="17E06184">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（2）凡结算审计核减率超过7%的，超过部分的审计费由施工单位承担，并直接在审定结算中予以折抵。</w:t>
      </w:r>
    </w:p>
    <w:p w14:paraId="45AD4D6E">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（3）因非承包人原因整体（全部）取消原定单项工作内容，由此产生的不平衡报价引起价格调整应参照《关于明确建设工程计价管理相关问题的意见（二）》（镇建价〔2019〕1号）相关规定执行。14.4 最终结清</w:t>
      </w:r>
    </w:p>
    <w:p w14:paraId="2BA51BE3">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14.4.1 最终结清申请单</w:t>
      </w:r>
    </w:p>
    <w:p w14:paraId="36C13BC6">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承包人提交最终结清申请单的份数：</w:t>
      </w:r>
      <w:bookmarkStart w:id="499" w:name="EB2354e93ba72542c88357937da19659ac"/>
      <w:r>
        <w:rPr>
          <w:rFonts w:hint="eastAsia" w:ascii="宋体" w:hAnsi="宋体" w:eastAsia="宋体" w:cs="宋体"/>
          <w:color w:val="auto"/>
          <w:szCs w:val="21"/>
          <w:highlight w:val="none"/>
          <w:u w:val="single"/>
        </w:rPr>
        <w:t>一式陆份</w:t>
      </w:r>
      <w:bookmarkEnd w:id="499"/>
      <w:r>
        <w:rPr>
          <w:rFonts w:hint="eastAsia" w:ascii="宋体" w:hAnsi="宋体" w:eastAsia="宋体" w:cs="宋体"/>
          <w:color w:val="auto"/>
          <w:szCs w:val="21"/>
          <w:highlight w:val="none"/>
        </w:rPr>
        <w:t>。</w:t>
      </w:r>
    </w:p>
    <w:p w14:paraId="087E46A3">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承包人提交最终结算申请单的期限：</w:t>
      </w:r>
      <w:bookmarkStart w:id="500" w:name="EBbdc87edacd0844f3883ddabcefdd84a0"/>
      <w:r>
        <w:rPr>
          <w:rFonts w:hint="eastAsia" w:ascii="宋体" w:hAnsi="宋体" w:eastAsia="宋体" w:cs="宋体"/>
          <w:color w:val="auto"/>
          <w:szCs w:val="21"/>
          <w:highlight w:val="none"/>
          <w:u w:val="single"/>
        </w:rPr>
        <w:t>完成工程竣工验收之日后</w:t>
      </w:r>
      <w:bookmarkEnd w:id="500"/>
      <w:r>
        <w:rPr>
          <w:rFonts w:hint="eastAsia" w:ascii="宋体" w:hAnsi="宋体" w:eastAsia="宋体" w:cs="宋体"/>
          <w:color w:val="auto"/>
          <w:szCs w:val="21"/>
          <w:highlight w:val="none"/>
        </w:rPr>
        <w:t xml:space="preserve">。 </w:t>
      </w:r>
    </w:p>
    <w:p w14:paraId="7D55FB63">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14.4.2 最终结清证书和支付</w:t>
      </w:r>
    </w:p>
    <w:p w14:paraId="452DBAA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（1）发包人完成最终结清申请单的审批并颁发最终结清证书的期限：</w:t>
      </w:r>
      <w:r>
        <w:rPr>
          <w:rFonts w:hint="eastAsia" w:ascii="宋体" w:hAnsi="宋体" w:eastAsia="宋体" w:cs="宋体"/>
          <w:color w:val="auto"/>
          <w:szCs w:val="21"/>
          <w:highlight w:val="none"/>
          <w:u w:val="single"/>
        </w:rPr>
        <w:t>两年缺陷责任期届满后（苗木养护期），凭丹阳市财政投资评审中心出具的竣工财务决算评审报告付清</w:t>
      </w:r>
      <w:r>
        <w:rPr>
          <w:rFonts w:hint="eastAsia" w:ascii="宋体" w:hAnsi="宋体" w:eastAsia="宋体" w:cs="宋体"/>
          <w:color w:val="auto"/>
          <w:szCs w:val="21"/>
          <w:highlight w:val="none"/>
        </w:rPr>
        <w:t>。</w:t>
      </w:r>
    </w:p>
    <w:p w14:paraId="3D8C84A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（2）发包人完成支付的期限：</w:t>
      </w:r>
      <w:r>
        <w:rPr>
          <w:rFonts w:hint="eastAsia" w:ascii="宋体" w:hAnsi="宋体" w:eastAsia="宋体" w:cs="宋体"/>
          <w:color w:val="auto"/>
          <w:szCs w:val="21"/>
          <w:highlight w:val="none"/>
          <w:u w:val="single"/>
        </w:rPr>
        <w:t>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hint="eastAsia" w:ascii="宋体" w:hAnsi="宋体" w:eastAsia="宋体" w:cs="宋体"/>
          <w:color w:val="auto"/>
          <w:szCs w:val="21"/>
          <w:highlight w:val="none"/>
        </w:rPr>
        <w:t>。</w:t>
      </w:r>
    </w:p>
    <w:p w14:paraId="4BC47073">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15. 缺陷责任期与保修</w:t>
      </w:r>
    </w:p>
    <w:p w14:paraId="57A8E1D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15.2缺陷责任期</w:t>
      </w:r>
    </w:p>
    <w:p w14:paraId="2EFB761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缺陷责任期的具体期限：</w:t>
      </w:r>
      <w:bookmarkStart w:id="501" w:name="EBb96837922cbc484493f445a4455515e0"/>
      <w:r>
        <w:rPr>
          <w:rFonts w:hint="eastAsia" w:ascii="宋体" w:hAnsi="宋体" w:eastAsia="宋体" w:cs="宋体"/>
          <w:color w:val="auto"/>
          <w:szCs w:val="21"/>
          <w:highlight w:val="none"/>
          <w:u w:val="single"/>
        </w:rPr>
        <w:t>自竣工验收合格之日起贰年</w:t>
      </w:r>
      <w:bookmarkEnd w:id="501"/>
      <w:r>
        <w:rPr>
          <w:rFonts w:hint="eastAsia" w:ascii="宋体" w:hAnsi="宋体" w:eastAsia="宋体" w:cs="宋体"/>
          <w:color w:val="auto"/>
          <w:szCs w:val="21"/>
          <w:highlight w:val="none"/>
        </w:rPr>
        <w:t>。</w:t>
      </w:r>
    </w:p>
    <w:p w14:paraId="38049A1B">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 质量保证金</w:t>
      </w:r>
    </w:p>
    <w:p w14:paraId="39C9917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关于是否扣留质量保证金的约定：</w:t>
      </w:r>
      <w:r>
        <w:rPr>
          <w:rFonts w:hint="eastAsia" w:ascii="宋体" w:hAnsi="宋体" w:eastAsia="宋体" w:cs="宋体"/>
          <w:color w:val="auto"/>
          <w:szCs w:val="21"/>
          <w:highlight w:val="none"/>
          <w:u w:val="single"/>
        </w:rPr>
        <w:t>已包含在工程尾款之中</w:t>
      </w:r>
      <w:r>
        <w:rPr>
          <w:rFonts w:hint="eastAsia" w:ascii="宋体" w:hAnsi="宋体" w:eastAsia="宋体" w:cs="宋体"/>
          <w:color w:val="auto"/>
          <w:szCs w:val="21"/>
          <w:highlight w:val="none"/>
        </w:rPr>
        <w:t>。</w:t>
      </w:r>
    </w:p>
    <w:p w14:paraId="3A1AE65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在工程项目竣工前，承包人按专用合同条款第3.7条提供履约担保的，发包人不得同时预留工程质量保证金。</w:t>
      </w:r>
    </w:p>
    <w:p w14:paraId="45A46F45">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15.3.1 承包人提供质量保证金的方式</w:t>
      </w:r>
    </w:p>
    <w:p w14:paraId="7CAA20F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质量保证金采用以下第</w:t>
      </w:r>
      <w:bookmarkStart w:id="502" w:name="EB8f34c043b8ea4f81b5de1615638dd312"/>
      <w:r>
        <w:rPr>
          <w:rFonts w:hint="eastAsia" w:ascii="宋体" w:hAnsi="宋体" w:eastAsia="宋体" w:cs="宋体"/>
          <w:color w:val="auto"/>
          <w:szCs w:val="21"/>
          <w:highlight w:val="none"/>
        </w:rPr>
        <w:t>/</w:t>
      </w:r>
      <w:bookmarkEnd w:id="502"/>
      <w:r>
        <w:rPr>
          <w:rFonts w:hint="eastAsia" w:ascii="宋体" w:hAnsi="宋体" w:eastAsia="宋体" w:cs="宋体"/>
          <w:color w:val="auto"/>
          <w:szCs w:val="21"/>
          <w:highlight w:val="none"/>
        </w:rPr>
        <w:t>种方式：</w:t>
      </w:r>
    </w:p>
    <w:p w14:paraId="162448E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（1）质量保证金保函，保证金额为：</w:t>
      </w:r>
      <w:bookmarkStart w:id="503" w:name="EBb73b33f7b67641a19987642267911e02"/>
      <w:r>
        <w:rPr>
          <w:rFonts w:hint="eastAsia" w:ascii="宋体" w:hAnsi="宋体" w:eastAsia="宋体" w:cs="宋体"/>
          <w:color w:val="auto"/>
          <w:szCs w:val="21"/>
          <w:highlight w:val="none"/>
        </w:rPr>
        <w:t>/</w:t>
      </w:r>
      <w:bookmarkEnd w:id="503"/>
      <w:r>
        <w:rPr>
          <w:rFonts w:hint="eastAsia" w:ascii="宋体" w:hAnsi="宋体" w:eastAsia="宋体" w:cs="宋体"/>
          <w:color w:val="auto"/>
          <w:szCs w:val="21"/>
          <w:highlight w:val="none"/>
        </w:rPr>
        <w:t xml:space="preserve">； </w:t>
      </w:r>
    </w:p>
    <w:p w14:paraId="086E5EE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bookmarkStart w:id="504" w:name="EBc3e6022b4f7a4ffe8fb4a64a10213b20"/>
      <w:r>
        <w:rPr>
          <w:rFonts w:hint="eastAsia" w:ascii="宋体" w:hAnsi="宋体" w:eastAsia="宋体" w:cs="宋体"/>
          <w:color w:val="auto"/>
          <w:szCs w:val="21"/>
          <w:highlight w:val="none"/>
          <w:u w:val="single"/>
        </w:rPr>
        <w:t>本工程结算价款3</w:t>
      </w:r>
      <w:bookmarkEnd w:id="504"/>
      <w:r>
        <w:rPr>
          <w:rFonts w:hint="eastAsia" w:ascii="宋体" w:hAnsi="宋体" w:eastAsia="宋体" w:cs="宋体"/>
          <w:color w:val="auto"/>
          <w:szCs w:val="21"/>
          <w:highlight w:val="none"/>
        </w:rPr>
        <w:t>%的工程款；</w:t>
      </w:r>
    </w:p>
    <w:p w14:paraId="1461D99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（3）其他方式</w:t>
      </w:r>
      <w:bookmarkStart w:id="505" w:name="EBa6c318d912d74ffc855b8a1ebac9982f"/>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w:t>
      </w:r>
      <w:bookmarkEnd w:id="505"/>
      <w:r>
        <w:rPr>
          <w:rFonts w:hint="eastAsia" w:ascii="宋体" w:hAnsi="宋体" w:eastAsia="宋体" w:cs="宋体"/>
          <w:color w:val="auto"/>
          <w:szCs w:val="21"/>
          <w:highlight w:val="none"/>
        </w:rPr>
        <w:t>。</w:t>
      </w:r>
    </w:p>
    <w:p w14:paraId="3E835539">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15.3.2 质量保证金的扣留 </w:t>
      </w:r>
    </w:p>
    <w:p w14:paraId="26920AAC">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质量保证金的扣留采取以下第</w:t>
      </w:r>
      <w:bookmarkStart w:id="506" w:name="EBc6578a82612747b0b43c70ed831b36b4"/>
      <w:r>
        <w:rPr>
          <w:rFonts w:hint="eastAsia" w:ascii="宋体" w:hAnsi="宋体" w:eastAsia="宋体" w:cs="宋体"/>
          <w:color w:val="auto"/>
          <w:szCs w:val="21"/>
          <w:highlight w:val="none"/>
        </w:rPr>
        <w:t>/</w:t>
      </w:r>
      <w:bookmarkEnd w:id="506"/>
      <w:r>
        <w:rPr>
          <w:rFonts w:hint="eastAsia" w:ascii="宋体" w:hAnsi="宋体" w:eastAsia="宋体" w:cs="宋体"/>
          <w:color w:val="auto"/>
          <w:szCs w:val="21"/>
          <w:highlight w:val="none"/>
        </w:rPr>
        <w:t>种方式：</w:t>
      </w:r>
    </w:p>
    <w:p w14:paraId="45E9645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（1）在支付工程进度款时逐次扣留，在此情形下，质量保证金的计算基数不包括预付款的支付、扣回以及价格调整的金额；</w:t>
      </w:r>
    </w:p>
    <w:p w14:paraId="3AE7472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（2）工程竣工结算时一次性扣留质量保证金；</w:t>
      </w:r>
    </w:p>
    <w:p w14:paraId="0336CBC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（3）其他扣留方式</w:t>
      </w:r>
      <w:bookmarkStart w:id="507" w:name="EB24579f9accb94eacafb075fdbb379837"/>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u w:val="single"/>
        </w:rPr>
        <w:t>无</w:t>
      </w:r>
      <w:bookmarkEnd w:id="507"/>
      <w:r>
        <w:rPr>
          <w:rFonts w:hint="eastAsia" w:ascii="宋体" w:hAnsi="宋体" w:eastAsia="宋体" w:cs="宋体"/>
          <w:color w:val="auto"/>
          <w:szCs w:val="21"/>
          <w:highlight w:val="none"/>
        </w:rPr>
        <w:t>。</w:t>
      </w:r>
    </w:p>
    <w:p w14:paraId="6C73263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关于质量保证金的补充约定：</w:t>
      </w:r>
      <w:bookmarkStart w:id="508" w:name="EB1089c4acc5664b36acf41aab8fe31cae"/>
      <w:r>
        <w:rPr>
          <w:rFonts w:hint="eastAsia" w:ascii="宋体" w:hAnsi="宋体" w:eastAsia="宋体" w:cs="宋体"/>
          <w:color w:val="auto"/>
          <w:szCs w:val="21"/>
          <w:highlight w:val="none"/>
          <w:u w:val="single"/>
        </w:rPr>
        <w:t>无息退还</w:t>
      </w:r>
      <w:bookmarkEnd w:id="508"/>
      <w:r>
        <w:rPr>
          <w:rFonts w:hint="eastAsia" w:ascii="宋体" w:hAnsi="宋体" w:eastAsia="宋体" w:cs="宋体"/>
          <w:color w:val="auto"/>
          <w:szCs w:val="21"/>
          <w:highlight w:val="none"/>
        </w:rPr>
        <w:t>。</w:t>
      </w:r>
    </w:p>
    <w:p w14:paraId="74D9D311">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15.4保修</w:t>
      </w:r>
    </w:p>
    <w:p w14:paraId="7AB3F38B">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15.4.1 保修责任</w:t>
      </w:r>
    </w:p>
    <w:p w14:paraId="50B28307">
      <w:pPr>
        <w:pageBreakBefore w:val="0"/>
        <w:widowControl w:val="0"/>
        <w:spacing w:line="400" w:lineRule="exact"/>
        <w:ind w:firstLine="40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工程保修期为：</w:t>
      </w:r>
      <w:bookmarkStart w:id="509" w:name="EB537dcd20aee34bdb9709c60faf5d32f9"/>
      <w:r>
        <w:rPr>
          <w:rFonts w:hint="eastAsia" w:ascii="宋体" w:hAnsi="宋体" w:eastAsia="宋体" w:cs="宋体"/>
          <w:color w:val="auto"/>
          <w:szCs w:val="21"/>
          <w:highlight w:val="none"/>
          <w:u w:val="single"/>
        </w:rPr>
        <w:t>工程自竣工验收合格之日起两年</w:t>
      </w:r>
      <w:bookmarkEnd w:id="509"/>
      <w:r>
        <w:rPr>
          <w:rFonts w:hint="eastAsia" w:ascii="宋体" w:hAnsi="宋体" w:eastAsia="宋体" w:cs="宋体"/>
          <w:color w:val="auto"/>
          <w:szCs w:val="21"/>
          <w:highlight w:val="none"/>
        </w:rPr>
        <w:t>。</w:t>
      </w:r>
    </w:p>
    <w:p w14:paraId="6D89CAD8">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15.4.3 修复通知</w:t>
      </w:r>
    </w:p>
    <w:p w14:paraId="09109B9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承包人收到保修通知并到达工程现场的合理时间：</w:t>
      </w:r>
      <w:bookmarkStart w:id="510" w:name="EBcd633b3dc882425990ca7e976bd37810"/>
      <w:r>
        <w:rPr>
          <w:rFonts w:hint="eastAsia" w:ascii="宋体" w:hAnsi="宋体" w:eastAsia="宋体" w:cs="宋体"/>
          <w:color w:val="auto"/>
          <w:szCs w:val="21"/>
          <w:highlight w:val="none"/>
          <w:u w:val="single"/>
        </w:rPr>
        <w:t>属于保修范围和内容的项目，承包人应在接到2天内派人修理，承包人不在约定期限内派人修理，发包人可委托其他人员修理，保修费用从质量保修金内扣除</w:t>
      </w:r>
      <w:bookmarkEnd w:id="510"/>
      <w:r>
        <w:rPr>
          <w:rFonts w:hint="eastAsia" w:ascii="宋体" w:hAnsi="宋体" w:eastAsia="宋体" w:cs="宋体"/>
          <w:color w:val="auto"/>
          <w:szCs w:val="21"/>
          <w:highlight w:val="none"/>
        </w:rPr>
        <w:t>。</w:t>
      </w:r>
    </w:p>
    <w:p w14:paraId="41BAA478">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16. 违约</w:t>
      </w:r>
    </w:p>
    <w:p w14:paraId="547C6701">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发包人违约</w:t>
      </w:r>
    </w:p>
    <w:p w14:paraId="2C9D74EA">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16.1.1发包人违约的情形</w:t>
      </w:r>
    </w:p>
    <w:p w14:paraId="3C193E2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发包人违约的其他情形：</w:t>
      </w:r>
      <w:bookmarkStart w:id="511" w:name="EB05743f68458f4cc99488df9977aca5cd"/>
      <w:r>
        <w:rPr>
          <w:rFonts w:hint="eastAsia" w:ascii="宋体" w:hAnsi="宋体" w:eastAsia="宋体" w:cs="宋体"/>
          <w:color w:val="auto"/>
          <w:szCs w:val="21"/>
          <w:highlight w:val="none"/>
        </w:rPr>
        <w:t>/</w:t>
      </w:r>
      <w:bookmarkEnd w:id="511"/>
      <w:r>
        <w:rPr>
          <w:rFonts w:hint="eastAsia" w:ascii="宋体" w:hAnsi="宋体" w:eastAsia="宋体" w:cs="宋体"/>
          <w:color w:val="auto"/>
          <w:szCs w:val="21"/>
          <w:highlight w:val="none"/>
        </w:rPr>
        <w:t>。</w:t>
      </w:r>
    </w:p>
    <w:p w14:paraId="4FD47861">
      <w:pPr>
        <w:pageBreakBefore w:val="0"/>
        <w:widowControl w:val="0"/>
        <w:spacing w:line="400" w:lineRule="exact"/>
        <w:ind w:left="1050" w:hanging="105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16.1.2 发包人违约的责任</w:t>
      </w:r>
    </w:p>
    <w:p w14:paraId="3E6D8B6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发包人违约责任的承担方式和计算方法：</w:t>
      </w:r>
    </w:p>
    <w:p w14:paraId="3EB94847">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（1）因发包人原因未能在计划开工日期前7天内下达开工通知的违约责任：</w:t>
      </w:r>
      <w:bookmarkStart w:id="512" w:name="EB106b67cf6fb24ee3956e75731cadb67e"/>
      <w:r>
        <w:rPr>
          <w:rFonts w:hint="eastAsia" w:ascii="宋体" w:hAnsi="宋体" w:eastAsia="宋体" w:cs="宋体"/>
          <w:color w:val="auto"/>
          <w:szCs w:val="21"/>
          <w:highlight w:val="none"/>
        </w:rPr>
        <w:t>顺延开工日期，开工日期以实际开工日期为准，实际开工日期以发包人书面通知为准，承包人不得因为开工日期的变更而要求延长工期或增加任何额外费用。除发包人及人力不可抗拒的因素，工期一律不得顺延</w:t>
      </w:r>
      <w:bookmarkEnd w:id="512"/>
      <w:r>
        <w:rPr>
          <w:rFonts w:hint="eastAsia" w:ascii="宋体" w:hAnsi="宋体" w:eastAsia="宋体" w:cs="宋体"/>
          <w:color w:val="auto"/>
          <w:szCs w:val="21"/>
          <w:highlight w:val="none"/>
        </w:rPr>
        <w:t>。</w:t>
      </w:r>
    </w:p>
    <w:p w14:paraId="0BAB8FC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（2）因发包人原因未能按合同约定支付合同价款的违约责任：</w:t>
      </w:r>
      <w:bookmarkStart w:id="513" w:name="EB2f99169a5eb74fdcb0d9f14cd88e5e17"/>
      <w:r>
        <w:rPr>
          <w:rFonts w:hint="eastAsia" w:ascii="宋体" w:hAnsi="宋体" w:eastAsia="宋体" w:cs="宋体"/>
          <w:color w:val="auto"/>
          <w:szCs w:val="21"/>
          <w:highlight w:val="none"/>
        </w:rPr>
        <w:t>/</w:t>
      </w:r>
      <w:bookmarkEnd w:id="513"/>
      <w:r>
        <w:rPr>
          <w:rFonts w:hint="eastAsia" w:ascii="宋体" w:hAnsi="宋体" w:eastAsia="宋体" w:cs="宋体"/>
          <w:color w:val="auto"/>
          <w:szCs w:val="21"/>
          <w:highlight w:val="none"/>
        </w:rPr>
        <w:t>。</w:t>
      </w:r>
    </w:p>
    <w:p w14:paraId="41680B4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（3）发包人违反第10.1款〔变更的范围〕第（2）项约定，自行实施被取消的工作或转由他人实施的违约责任：</w:t>
      </w:r>
      <w:bookmarkStart w:id="514" w:name="EBfb95a55d2dd04d4ebb22e83702565c67"/>
      <w:r>
        <w:rPr>
          <w:rFonts w:hint="eastAsia" w:ascii="宋体" w:hAnsi="宋体" w:eastAsia="宋体" w:cs="宋体"/>
          <w:color w:val="auto"/>
          <w:szCs w:val="21"/>
          <w:highlight w:val="none"/>
        </w:rPr>
        <w:t>该自行实施或他人实施的工作量不得计入承包人工作范围结算工程款</w:t>
      </w:r>
      <w:bookmarkEnd w:id="514"/>
      <w:r>
        <w:rPr>
          <w:rFonts w:hint="eastAsia" w:ascii="宋体" w:hAnsi="宋体" w:eastAsia="宋体" w:cs="宋体"/>
          <w:color w:val="auto"/>
          <w:szCs w:val="21"/>
          <w:highlight w:val="none"/>
        </w:rPr>
        <w:t>。</w:t>
      </w:r>
    </w:p>
    <w:p w14:paraId="3E3CC448">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（4）发包人提供的材料、工程设备的规格、数量或质量不符合合同约定，或因发包人原因导致交货日期延误或交货地点变更等情况的违约责任：</w:t>
      </w:r>
      <w:bookmarkStart w:id="515" w:name="EB6a1606ad6e1945b48dd647642da41f15"/>
      <w:r>
        <w:rPr>
          <w:rFonts w:hint="eastAsia" w:ascii="宋体" w:hAnsi="宋体" w:eastAsia="宋体" w:cs="宋体"/>
          <w:color w:val="auto"/>
          <w:szCs w:val="21"/>
          <w:highlight w:val="none"/>
        </w:rPr>
        <w:t>执行通用条款16.1.2</w:t>
      </w:r>
      <w:bookmarkEnd w:id="515"/>
      <w:r>
        <w:rPr>
          <w:rFonts w:hint="eastAsia" w:ascii="宋体" w:hAnsi="宋体" w:eastAsia="宋体" w:cs="宋体"/>
          <w:color w:val="auto"/>
          <w:szCs w:val="21"/>
          <w:highlight w:val="none"/>
        </w:rPr>
        <w:t>。</w:t>
      </w:r>
    </w:p>
    <w:p w14:paraId="6D30DFFF">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（5）因发包人违反合同约定造成暂停施工的违约责任：</w:t>
      </w:r>
      <w:bookmarkStart w:id="516" w:name="EBb970a764de224404a949dd53153e6dcd"/>
      <w:r>
        <w:rPr>
          <w:rFonts w:hint="eastAsia" w:ascii="宋体" w:hAnsi="宋体" w:eastAsia="宋体" w:cs="宋体"/>
          <w:color w:val="auto"/>
          <w:szCs w:val="21"/>
          <w:highlight w:val="none"/>
        </w:rPr>
        <w:t>执行通用条款16.1.2</w:t>
      </w:r>
      <w:bookmarkEnd w:id="516"/>
      <w:r>
        <w:rPr>
          <w:rFonts w:hint="eastAsia" w:ascii="宋体" w:hAnsi="宋体" w:eastAsia="宋体" w:cs="宋体"/>
          <w:color w:val="auto"/>
          <w:szCs w:val="21"/>
          <w:highlight w:val="none"/>
        </w:rPr>
        <w:t>。</w:t>
      </w:r>
    </w:p>
    <w:p w14:paraId="22A71C3E">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（6）发包人无正当理由没有在约定期限内发出复工指示，导致承包人无法复工的违约责任：</w:t>
      </w:r>
      <w:bookmarkStart w:id="517" w:name="EB0f9e7dee4d6546eaa2e4bf0825f1ed24"/>
      <w:r>
        <w:rPr>
          <w:rFonts w:hint="eastAsia" w:ascii="宋体" w:hAnsi="宋体" w:eastAsia="宋体" w:cs="宋体"/>
          <w:color w:val="auto"/>
          <w:szCs w:val="21"/>
          <w:highlight w:val="none"/>
        </w:rPr>
        <w:t>执行通用条款16.1.2</w:t>
      </w:r>
      <w:bookmarkEnd w:id="517"/>
      <w:r>
        <w:rPr>
          <w:rFonts w:hint="eastAsia" w:ascii="宋体" w:hAnsi="宋体" w:eastAsia="宋体" w:cs="宋体"/>
          <w:color w:val="auto"/>
          <w:szCs w:val="21"/>
          <w:highlight w:val="none"/>
        </w:rPr>
        <w:t>。</w:t>
      </w:r>
    </w:p>
    <w:p w14:paraId="0E2DFD44">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（7）其他：</w:t>
      </w:r>
      <w:bookmarkStart w:id="518" w:name="EB44413ede0a8b49849b0a086b881e095d"/>
      <w:r>
        <w:rPr>
          <w:rFonts w:hint="eastAsia" w:ascii="宋体" w:hAnsi="宋体" w:eastAsia="宋体" w:cs="宋体"/>
          <w:color w:val="auto"/>
          <w:szCs w:val="21"/>
          <w:highlight w:val="none"/>
        </w:rPr>
        <w:t>/</w:t>
      </w:r>
      <w:bookmarkEnd w:id="518"/>
      <w:r>
        <w:rPr>
          <w:rFonts w:hint="eastAsia" w:ascii="宋体" w:hAnsi="宋体" w:eastAsia="宋体" w:cs="宋体"/>
          <w:color w:val="auto"/>
          <w:szCs w:val="21"/>
          <w:highlight w:val="none"/>
        </w:rPr>
        <w:t>。</w:t>
      </w:r>
    </w:p>
    <w:p w14:paraId="7CC676B0">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16.1.3 因发包人违约解除合同</w:t>
      </w:r>
    </w:p>
    <w:p w14:paraId="4D511A1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承包人按16.1.1项〔发包人违约的情形〕约定暂停施工满</w:t>
      </w:r>
      <w:bookmarkStart w:id="519" w:name="EBd75700bd30c24e979c13fd22998adb41"/>
      <w:r>
        <w:rPr>
          <w:rFonts w:hint="eastAsia" w:ascii="宋体" w:hAnsi="宋体" w:eastAsia="宋体" w:cs="宋体"/>
          <w:color w:val="auto"/>
          <w:szCs w:val="21"/>
          <w:highlight w:val="none"/>
          <w:u w:val="single"/>
        </w:rPr>
        <w:t>28</w:t>
      </w:r>
      <w:bookmarkEnd w:id="519"/>
      <w:r>
        <w:rPr>
          <w:rFonts w:hint="eastAsia" w:ascii="宋体" w:hAnsi="宋体" w:eastAsia="宋体" w:cs="宋体"/>
          <w:color w:val="auto"/>
          <w:szCs w:val="21"/>
          <w:highlight w:val="none"/>
        </w:rPr>
        <w:t>天后发包人仍不纠正其违约行为并致使合同目的不能实现的，承包人有权解除合同。</w:t>
      </w:r>
    </w:p>
    <w:p w14:paraId="73098EBE">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 承包人违约</w:t>
      </w:r>
    </w:p>
    <w:p w14:paraId="60F5E54B">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16.2.1 承包人违约的情形</w:t>
      </w:r>
    </w:p>
    <w:p w14:paraId="029C05F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承包人违约的其他情形：</w:t>
      </w:r>
      <w:bookmarkStart w:id="520" w:name="EBf0a3c14a712f4701a178f78b751f3d09"/>
      <w:r>
        <w:rPr>
          <w:rFonts w:hint="eastAsia" w:ascii="宋体" w:hAnsi="宋体" w:eastAsia="宋体" w:cs="宋体"/>
          <w:color w:val="auto"/>
          <w:highlight w:val="none"/>
        </w:rPr>
        <w:t>1.承包人派驻现场的人员不能满足投标文件承诺的；2.承包人派驻现场的人员不能有效履行其职责，在发包人发出书面更换通知后7天内不更换人员的或按发包人要求更换后仍不能胜任其职责的；3.承包人派驻现场的项目经理、技术负责人等主要人员未经发包人批准脱离现场超过1天的；4.承包人未按工程需要使用投标文件中配备的机械设备、检测设备和仪器的；5.承包人不按发包人批准的施工组织设计实施的；6.承包人不按要求提报施工组织设计、施工方案、进度计划、材料计划的；7.承包人不及时执行发包人代表指令的；8.因承包人原因出现安全、工程质量问题的；9.未经批准或检测不合格的材料设备进入工地现场；10.承包人不遵守发包人对施工现场的管理规定的；11.因承包人原因造成工程竣工一次性验收未达到合格标准，承包人返工仍然达不到合格标准的；12.未经发包人书面批准承包人擅自更换项目经理的；13.出现严重安全、质量事故的；14.承包人野蛮施工且不服从发包人管理的；15.本合同中承包人应履行的义务。</w:t>
      </w:r>
    </w:p>
    <w:p w14:paraId="5DBC1787">
      <w:pPr>
        <w:pageBreakBefore w:val="0"/>
        <w:widowControl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承包人履行义务时所发生的费用已包含在合同价款中，如承包人未履行上述义务造成的工程、财产损失和人身伤害，由承包人承担责任及所发生的费用</w:t>
      </w:r>
      <w:bookmarkEnd w:id="520"/>
      <w:r>
        <w:rPr>
          <w:rFonts w:hint="eastAsia" w:ascii="宋体" w:hAnsi="宋体" w:eastAsia="宋体" w:cs="宋体"/>
          <w:color w:val="auto"/>
          <w:szCs w:val="21"/>
          <w:highlight w:val="none"/>
        </w:rPr>
        <w:t>。</w:t>
      </w:r>
    </w:p>
    <w:p w14:paraId="3A68190A">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16.2.2承包人违约的责任</w:t>
      </w:r>
    </w:p>
    <w:p w14:paraId="30D28F3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承包人违约责任的承担方式和计算方法：</w:t>
      </w:r>
      <w:bookmarkStart w:id="521" w:name="EBe4c8df4f8c6644668cbc6f21435880df"/>
      <w:r>
        <w:rPr>
          <w:rFonts w:hint="eastAsia" w:ascii="宋体" w:hAnsi="宋体" w:eastAsia="宋体" w:cs="宋体"/>
          <w:color w:val="auto"/>
          <w:szCs w:val="21"/>
          <w:highlight w:val="none"/>
        </w:rPr>
        <w:t>由承包人承担因其违约行为而增加的费用</w:t>
      </w:r>
      <w:bookmarkEnd w:id="521"/>
      <w:r>
        <w:rPr>
          <w:rFonts w:hint="eastAsia" w:ascii="宋体" w:hAnsi="宋体" w:eastAsia="宋体" w:cs="宋体"/>
          <w:color w:val="auto"/>
          <w:szCs w:val="21"/>
          <w:highlight w:val="none"/>
        </w:rPr>
        <w:t xml:space="preserve">。    </w:t>
      </w:r>
    </w:p>
    <w:p w14:paraId="0AE3EE43">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16.2.3 因承包人违约解除合同</w:t>
      </w:r>
    </w:p>
    <w:p w14:paraId="326FEDB2">
      <w:pPr>
        <w:pageBreakBefore w:val="0"/>
        <w:widowControl w:val="0"/>
        <w:spacing w:before="120" w:after="120"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关于承包人违约解除合同的特别约定：</w:t>
      </w:r>
      <w:bookmarkStart w:id="522" w:name="EBea7ed3ea2a9543598c25d0a0800b9596"/>
      <w:r>
        <w:rPr>
          <w:rFonts w:hint="eastAsia" w:ascii="宋体" w:hAnsi="宋体" w:eastAsia="宋体" w:cs="宋体"/>
          <w:color w:val="auto"/>
          <w:szCs w:val="21"/>
          <w:highlight w:val="none"/>
        </w:rPr>
        <w:t>执行通用条款16.2.3</w:t>
      </w:r>
      <w:bookmarkEnd w:id="522"/>
      <w:r>
        <w:rPr>
          <w:rFonts w:hint="eastAsia" w:ascii="宋体" w:hAnsi="宋体" w:eastAsia="宋体" w:cs="宋体"/>
          <w:color w:val="auto"/>
          <w:szCs w:val="21"/>
          <w:highlight w:val="none"/>
        </w:rPr>
        <w:t>。</w:t>
      </w:r>
    </w:p>
    <w:p w14:paraId="64267B31">
      <w:pPr>
        <w:pageBreakBefore w:val="0"/>
        <w:widowControl w:val="0"/>
        <w:spacing w:before="120" w:after="120"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发包人继续使用承包人在施工现场的材料、设备、临时工程、承包人文件和由承包人或以其名义编制的其他文件的费用承担方式：</w:t>
      </w:r>
      <w:bookmarkStart w:id="523" w:name="EB47b07c1818564b1da26b194ae70d411b"/>
      <w:r>
        <w:rPr>
          <w:rFonts w:hint="eastAsia" w:ascii="宋体" w:hAnsi="宋体" w:eastAsia="宋体" w:cs="宋体"/>
          <w:color w:val="auto"/>
          <w:szCs w:val="21"/>
          <w:highlight w:val="none"/>
        </w:rPr>
        <w:t>执行通用条款16.2.3，发包人应按市场价向承包人支付相关费用</w:t>
      </w:r>
      <w:bookmarkEnd w:id="523"/>
      <w:r>
        <w:rPr>
          <w:rFonts w:hint="eastAsia" w:ascii="宋体" w:hAnsi="宋体" w:eastAsia="宋体" w:cs="宋体"/>
          <w:color w:val="auto"/>
          <w:szCs w:val="21"/>
          <w:highlight w:val="none"/>
        </w:rPr>
        <w:t>。</w:t>
      </w:r>
    </w:p>
    <w:p w14:paraId="3D9543B0">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17. 不可抗力 </w:t>
      </w:r>
    </w:p>
    <w:p w14:paraId="5DFF0593">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 不可抗力的确认</w:t>
      </w:r>
    </w:p>
    <w:p w14:paraId="45029B56">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除通用合同条款约定的不可抗力事件之外，视为不可抗力的其他情形：</w:t>
      </w:r>
      <w:bookmarkStart w:id="524" w:name="EB812a570dafc64af0803b2f5da5108ab8"/>
      <w:r>
        <w:rPr>
          <w:rFonts w:hint="eastAsia" w:ascii="宋体" w:hAnsi="宋体" w:eastAsia="宋体" w:cs="宋体"/>
          <w:color w:val="auto"/>
          <w:szCs w:val="21"/>
          <w:highlight w:val="none"/>
        </w:rPr>
        <w:t>除通用合同条款约定的不可抗力事件之外，视为不可抗力的其他情形：不可抗力包括因战争、动乱、空中飞行物体坠落或其他非发包人和承包人责任造成的爆炸、火灾，以及由市级以上有关部门正式发布和认定的重大自然灾害</w:t>
      </w:r>
      <w:bookmarkEnd w:id="524"/>
      <w:r>
        <w:rPr>
          <w:rFonts w:hint="eastAsia" w:ascii="宋体" w:hAnsi="宋体" w:eastAsia="宋体" w:cs="宋体"/>
          <w:color w:val="auto"/>
          <w:szCs w:val="21"/>
          <w:highlight w:val="none"/>
        </w:rPr>
        <w:t>。</w:t>
      </w:r>
    </w:p>
    <w:p w14:paraId="4CD114B2">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17.4 因不可抗力解除合同</w:t>
      </w:r>
    </w:p>
    <w:p w14:paraId="369CE380">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合同解除后，发包人应在商定或确定发包人应支付款项后</w:t>
      </w:r>
      <w:bookmarkStart w:id="525" w:name="EB32d0d5f104d44746baaca126113bf22d"/>
      <w:r>
        <w:rPr>
          <w:rFonts w:hint="eastAsia" w:ascii="宋体" w:hAnsi="宋体" w:eastAsia="宋体" w:cs="宋体"/>
          <w:color w:val="auto"/>
          <w:szCs w:val="21"/>
          <w:highlight w:val="none"/>
        </w:rPr>
        <w:t>（合同解除后，发包人应支付的款项仍参照本合同12.4.1关于付款周期的约定执行，无法参照的，由双方协商确定）</w:t>
      </w:r>
      <w:bookmarkEnd w:id="525"/>
      <w:r>
        <w:rPr>
          <w:rFonts w:hint="eastAsia" w:ascii="宋体" w:hAnsi="宋体" w:eastAsia="宋体" w:cs="宋体"/>
          <w:color w:val="auto"/>
          <w:szCs w:val="21"/>
          <w:highlight w:val="none"/>
        </w:rPr>
        <w:t>天内完成款项的支付。</w:t>
      </w:r>
    </w:p>
    <w:p w14:paraId="12241304">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18. 保险</w:t>
      </w:r>
    </w:p>
    <w:p w14:paraId="468508DC">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工程保险</w:t>
      </w:r>
    </w:p>
    <w:p w14:paraId="19C25ACD">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关于工程保险的特别约定：</w:t>
      </w:r>
      <w:r>
        <w:rPr>
          <w:rFonts w:hint="eastAsia" w:ascii="宋体" w:hAnsi="宋体" w:eastAsia="宋体" w:cs="宋体"/>
          <w:color w:val="auto"/>
          <w:szCs w:val="21"/>
          <w:highlight w:val="none"/>
          <w:u w:val="single"/>
        </w:rPr>
        <w:t>建筑（安装）工程一切险费、第三方责任费用视为已含在投标报价中，由承包人以发包人和承包人联名的形式负责具体办理</w:t>
      </w:r>
      <w:r>
        <w:rPr>
          <w:rFonts w:hint="eastAsia" w:ascii="宋体" w:hAnsi="宋体" w:eastAsia="宋体" w:cs="宋体"/>
          <w:color w:val="auto"/>
          <w:szCs w:val="21"/>
          <w:highlight w:val="none"/>
        </w:rPr>
        <w:t>。</w:t>
      </w:r>
    </w:p>
    <w:p w14:paraId="45FD6CB2">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18.3 其他保险</w:t>
      </w:r>
    </w:p>
    <w:p w14:paraId="52040A6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关于其他保险的约定：</w:t>
      </w:r>
      <w:bookmarkStart w:id="526" w:name="EB5224f810cb6f44da89cbb80290d2ed72"/>
      <w:r>
        <w:rPr>
          <w:rFonts w:hint="eastAsia" w:ascii="宋体" w:hAnsi="宋体" w:eastAsia="宋体" w:cs="宋体"/>
          <w:color w:val="auto"/>
          <w:szCs w:val="21"/>
          <w:highlight w:val="none"/>
        </w:rPr>
        <w:t>执行通用条款18.3</w:t>
      </w:r>
      <w:bookmarkEnd w:id="526"/>
      <w:r>
        <w:rPr>
          <w:rFonts w:hint="eastAsia" w:ascii="宋体" w:hAnsi="宋体" w:eastAsia="宋体" w:cs="宋体"/>
          <w:color w:val="auto"/>
          <w:szCs w:val="21"/>
          <w:highlight w:val="none"/>
        </w:rPr>
        <w:t>。</w:t>
      </w:r>
    </w:p>
    <w:p w14:paraId="447FABAB">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承包人是否应为其施工设备等办理财产保险：</w:t>
      </w:r>
      <w:bookmarkStart w:id="527" w:name="EBd08adb41180e4b73809cb4ad4ac05ea9"/>
      <w:r>
        <w:rPr>
          <w:rFonts w:hint="eastAsia" w:ascii="宋体" w:hAnsi="宋体" w:eastAsia="宋体" w:cs="宋体"/>
          <w:color w:val="auto"/>
          <w:szCs w:val="21"/>
          <w:highlight w:val="none"/>
        </w:rPr>
        <w:t>应当办理</w:t>
      </w:r>
      <w:bookmarkEnd w:id="527"/>
      <w:r>
        <w:rPr>
          <w:rFonts w:hint="eastAsia" w:ascii="宋体" w:hAnsi="宋体" w:eastAsia="宋体" w:cs="宋体"/>
          <w:color w:val="auto"/>
          <w:szCs w:val="21"/>
          <w:highlight w:val="none"/>
        </w:rPr>
        <w:t>。</w:t>
      </w:r>
    </w:p>
    <w:p w14:paraId="4327D92C">
      <w:pPr>
        <w:pageBreakBefore w:val="0"/>
        <w:widowControl w:val="0"/>
        <w:spacing w:after="120"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18.7 通知义务</w:t>
      </w:r>
    </w:p>
    <w:p w14:paraId="0386AFEC">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关于变更保险合同时的通知义务的约定：</w:t>
      </w:r>
      <w:bookmarkStart w:id="528" w:name="EBcd2a6700002044be925c31f763a50368"/>
      <w:r>
        <w:rPr>
          <w:rFonts w:hint="eastAsia" w:ascii="宋体" w:hAnsi="宋体" w:eastAsia="宋体" w:cs="宋体"/>
          <w:color w:val="auto"/>
          <w:szCs w:val="21"/>
          <w:highlight w:val="none"/>
        </w:rPr>
        <w:t>执行通用条款18.7</w:t>
      </w:r>
      <w:bookmarkEnd w:id="528"/>
      <w:r>
        <w:rPr>
          <w:rFonts w:hint="eastAsia" w:ascii="宋体" w:hAnsi="宋体" w:eastAsia="宋体" w:cs="宋体"/>
          <w:color w:val="auto"/>
          <w:szCs w:val="21"/>
          <w:highlight w:val="none"/>
        </w:rPr>
        <w:t>。</w:t>
      </w:r>
    </w:p>
    <w:p w14:paraId="7EFB3334">
      <w:pPr>
        <w:pStyle w:val="5"/>
        <w:pageBreakBefore w:val="0"/>
        <w:widowControl w:val="0"/>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20. 争议解决</w:t>
      </w:r>
    </w:p>
    <w:p w14:paraId="428314E5">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 争议评审</w:t>
      </w:r>
    </w:p>
    <w:p w14:paraId="1806041E">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合同当事人是否同意将工程争议提交争议评审小组决定：</w:t>
      </w:r>
      <w:bookmarkStart w:id="529" w:name="EB13aac2132dfe4e6ab1a7d093150b0c37"/>
      <w:r>
        <w:rPr>
          <w:rFonts w:hint="eastAsia" w:ascii="宋体" w:hAnsi="宋体" w:eastAsia="宋体" w:cs="宋体"/>
          <w:color w:val="auto"/>
          <w:szCs w:val="21"/>
          <w:highlight w:val="none"/>
        </w:rPr>
        <w:t>不同意</w:t>
      </w:r>
      <w:bookmarkEnd w:id="529"/>
      <w:r>
        <w:rPr>
          <w:rFonts w:hint="eastAsia" w:ascii="宋体" w:hAnsi="宋体" w:eastAsia="宋体" w:cs="宋体"/>
          <w:color w:val="auto"/>
          <w:szCs w:val="21"/>
          <w:highlight w:val="none"/>
        </w:rPr>
        <w:t xml:space="preserve">。  </w:t>
      </w:r>
    </w:p>
    <w:p w14:paraId="32860552">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20.3.1 争议评审小组的确定</w:t>
      </w:r>
    </w:p>
    <w:p w14:paraId="3E940158">
      <w:pPr>
        <w:pageBreakBefore w:val="0"/>
        <w:widowControl w:val="0"/>
        <w:spacing w:line="4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争议评审小组成员的确定：</w:t>
      </w:r>
      <w:bookmarkStart w:id="530" w:name="EBec2a49e7a4ec4a37bfa2364e95c7b742"/>
      <w:r>
        <w:rPr>
          <w:rFonts w:hint="eastAsia" w:ascii="宋体" w:hAnsi="宋体" w:eastAsia="宋体" w:cs="宋体"/>
          <w:color w:val="auto"/>
          <w:szCs w:val="21"/>
          <w:highlight w:val="none"/>
        </w:rPr>
        <w:t>/</w:t>
      </w:r>
      <w:bookmarkEnd w:id="530"/>
      <w:r>
        <w:rPr>
          <w:rFonts w:hint="eastAsia" w:ascii="宋体" w:hAnsi="宋体" w:eastAsia="宋体" w:cs="宋体"/>
          <w:color w:val="auto"/>
          <w:szCs w:val="21"/>
          <w:highlight w:val="none"/>
        </w:rPr>
        <w:t>。</w:t>
      </w:r>
    </w:p>
    <w:p w14:paraId="470732B1">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选定争议评审员的期限：</w:t>
      </w:r>
      <w:bookmarkStart w:id="531" w:name="EB29a91cafa0084d7b95929445e874344a"/>
      <w:r>
        <w:rPr>
          <w:rFonts w:hint="eastAsia" w:ascii="宋体" w:hAnsi="宋体" w:eastAsia="宋体" w:cs="宋体"/>
          <w:color w:val="auto"/>
          <w:szCs w:val="21"/>
          <w:highlight w:val="none"/>
        </w:rPr>
        <w:t>/</w:t>
      </w:r>
      <w:bookmarkEnd w:id="531"/>
      <w:r>
        <w:rPr>
          <w:rFonts w:hint="eastAsia" w:ascii="宋体" w:hAnsi="宋体" w:eastAsia="宋体" w:cs="宋体"/>
          <w:color w:val="auto"/>
          <w:szCs w:val="21"/>
          <w:highlight w:val="none"/>
        </w:rPr>
        <w:t>。</w:t>
      </w:r>
    </w:p>
    <w:p w14:paraId="775E6777">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争议评审小组成员的报酬承担方式：</w:t>
      </w:r>
      <w:bookmarkStart w:id="532" w:name="EB9fdd9a53ae3f442286343aff88fe7bcb"/>
      <w:r>
        <w:rPr>
          <w:rFonts w:hint="eastAsia" w:ascii="宋体" w:hAnsi="宋体" w:eastAsia="宋体" w:cs="宋体"/>
          <w:color w:val="auto"/>
          <w:szCs w:val="21"/>
          <w:highlight w:val="none"/>
        </w:rPr>
        <w:t>/</w:t>
      </w:r>
      <w:bookmarkEnd w:id="532"/>
      <w:r>
        <w:rPr>
          <w:rFonts w:hint="eastAsia" w:ascii="宋体" w:hAnsi="宋体" w:eastAsia="宋体" w:cs="宋体"/>
          <w:color w:val="auto"/>
          <w:szCs w:val="21"/>
          <w:highlight w:val="none"/>
        </w:rPr>
        <w:t>。</w:t>
      </w:r>
    </w:p>
    <w:p w14:paraId="626A9995">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其他事项的约定：</w:t>
      </w:r>
      <w:bookmarkStart w:id="533" w:name="EB23ef1de943564857ae1039859faa899e"/>
      <w:r>
        <w:rPr>
          <w:rFonts w:hint="eastAsia" w:ascii="宋体" w:hAnsi="宋体" w:eastAsia="宋体" w:cs="宋体"/>
          <w:color w:val="auto"/>
          <w:szCs w:val="21"/>
          <w:highlight w:val="none"/>
        </w:rPr>
        <w:t>/</w:t>
      </w:r>
      <w:bookmarkEnd w:id="533"/>
      <w:r>
        <w:rPr>
          <w:rFonts w:hint="eastAsia" w:ascii="宋体" w:hAnsi="宋体" w:eastAsia="宋体" w:cs="宋体"/>
          <w:color w:val="auto"/>
          <w:szCs w:val="21"/>
          <w:highlight w:val="none"/>
        </w:rPr>
        <w:t>。</w:t>
      </w:r>
    </w:p>
    <w:p w14:paraId="0565782A">
      <w:pPr>
        <w:pageBreakBefore w:val="0"/>
        <w:widowControl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20.3.2 争议评审小组的决定</w:t>
      </w:r>
    </w:p>
    <w:p w14:paraId="6FAA3B59">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合同当事人关于本项的约定：</w:t>
      </w:r>
      <w:bookmarkStart w:id="534" w:name="EB907bb7e8d12f4151b9ebfdf473ee5889"/>
      <w:r>
        <w:rPr>
          <w:rFonts w:hint="eastAsia" w:ascii="宋体" w:hAnsi="宋体" w:eastAsia="宋体" w:cs="宋体"/>
          <w:color w:val="auto"/>
          <w:szCs w:val="21"/>
          <w:highlight w:val="none"/>
        </w:rPr>
        <w:t>/</w:t>
      </w:r>
      <w:bookmarkEnd w:id="534"/>
      <w:r>
        <w:rPr>
          <w:rFonts w:hint="eastAsia" w:ascii="宋体" w:hAnsi="宋体" w:eastAsia="宋体" w:cs="宋体"/>
          <w:color w:val="auto"/>
          <w:szCs w:val="21"/>
          <w:highlight w:val="none"/>
        </w:rPr>
        <w:t>。</w:t>
      </w:r>
    </w:p>
    <w:p w14:paraId="10322437">
      <w:pPr>
        <w:pageBreakBefore w:val="0"/>
        <w:widowControl w:val="0"/>
        <w:spacing w:after="120" w:line="400" w:lineRule="exact"/>
        <w:ind w:firstLine="42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20.4仲裁或诉讼</w:t>
      </w:r>
    </w:p>
    <w:p w14:paraId="27CA9509">
      <w:pPr>
        <w:pageBreakBefore w:val="0"/>
        <w:widowControl w:val="0"/>
        <w:spacing w:after="120"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因合同及合同有关事项发生的争议，按下列第</w:t>
      </w:r>
      <w:bookmarkStart w:id="535" w:name="EB6a8aeac766be4375a131b2bf78628151"/>
      <w:r>
        <w:rPr>
          <w:rFonts w:hint="eastAsia" w:ascii="宋体" w:hAnsi="宋体" w:eastAsia="宋体" w:cs="宋体"/>
          <w:color w:val="auto"/>
          <w:szCs w:val="21"/>
          <w:highlight w:val="none"/>
          <w:u w:val="single"/>
        </w:rPr>
        <w:t>（2）</w:t>
      </w:r>
      <w:bookmarkEnd w:id="535"/>
      <w:r>
        <w:rPr>
          <w:rFonts w:hint="eastAsia" w:ascii="宋体" w:hAnsi="宋体" w:eastAsia="宋体" w:cs="宋体"/>
          <w:color w:val="auto"/>
          <w:szCs w:val="21"/>
          <w:highlight w:val="none"/>
        </w:rPr>
        <w:t>种方式解决：</w:t>
      </w:r>
    </w:p>
    <w:p w14:paraId="1C04E29A">
      <w:pPr>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（1）向</w:t>
      </w:r>
      <w:bookmarkStart w:id="536" w:name="EB8dac85de02494216a8e71a848e408970"/>
      <w:r>
        <w:rPr>
          <w:rFonts w:hint="eastAsia" w:ascii="宋体" w:hAnsi="宋体" w:eastAsia="宋体" w:cs="宋体"/>
          <w:color w:val="auto"/>
          <w:szCs w:val="21"/>
          <w:highlight w:val="none"/>
          <w:u w:val="single"/>
        </w:rPr>
        <w:t>镇江</w:t>
      </w:r>
      <w:bookmarkEnd w:id="536"/>
      <w:r>
        <w:rPr>
          <w:rFonts w:hint="eastAsia" w:ascii="宋体" w:hAnsi="宋体" w:eastAsia="宋体" w:cs="宋体"/>
          <w:color w:val="auto"/>
          <w:szCs w:val="21"/>
          <w:highlight w:val="none"/>
        </w:rPr>
        <w:t>仲裁委员会申请仲裁；</w:t>
      </w:r>
    </w:p>
    <w:p w14:paraId="51521585">
      <w:pPr>
        <w:pageBreakBefore w:val="0"/>
        <w:widowControl w:val="0"/>
        <w:spacing w:line="400" w:lineRule="exact"/>
        <w:ind w:firstLine="420"/>
        <w:rPr>
          <w:color w:val="auto"/>
          <w:highlight w:val="none"/>
        </w:rPr>
      </w:pPr>
      <w:r>
        <w:rPr>
          <w:rFonts w:hint="eastAsia" w:ascii="宋体" w:hAnsi="宋体" w:eastAsia="宋体" w:cs="宋体"/>
          <w:color w:val="auto"/>
          <w:szCs w:val="21"/>
          <w:highlight w:val="none"/>
        </w:rPr>
        <w:t>（2）向</w:t>
      </w:r>
      <w:bookmarkStart w:id="537" w:name="EBdc9d5bcd2d354883aa31bb7fb453e04a"/>
      <w:r>
        <w:rPr>
          <w:rFonts w:hint="eastAsia" w:ascii="宋体" w:hAnsi="宋体" w:eastAsia="宋体" w:cs="宋体"/>
          <w:color w:val="auto"/>
          <w:szCs w:val="21"/>
          <w:highlight w:val="none"/>
          <w:u w:val="single"/>
        </w:rPr>
        <w:t>丹阳市</w:t>
      </w:r>
      <w:bookmarkEnd w:id="537"/>
      <w:r>
        <w:rPr>
          <w:rFonts w:hint="eastAsia" w:ascii="宋体" w:hAnsi="宋体" w:eastAsia="宋体" w:cs="宋体"/>
          <w:color w:val="auto"/>
          <w:szCs w:val="21"/>
          <w:highlight w:val="none"/>
        </w:rPr>
        <w:t>人民法院起诉。</w:t>
      </w:r>
    </w:p>
    <w:p w14:paraId="512BC30B">
      <w:pPr>
        <w:pStyle w:val="250"/>
        <w:widowControl/>
        <w:spacing w:line="400" w:lineRule="exact"/>
        <w:jc w:val="right"/>
        <w:rPr>
          <w:rFonts w:hint="eastAsia"/>
          <w:color w:val="auto"/>
          <w:sz w:val="20"/>
          <w:highlight w:val="none"/>
        </w:rPr>
      </w:pPr>
      <w:r>
        <w:rPr>
          <w:color w:val="auto"/>
          <w:highlight w:val="none"/>
        </w:rPr>
        <w:br w:type="page" w:clear="all"/>
      </w:r>
    </w:p>
    <w:p w14:paraId="51C406F5">
      <w:pPr>
        <w:pStyle w:val="188"/>
        <w:jc w:val="center"/>
        <w:rPr>
          <w:color w:val="auto"/>
          <w:highlight w:val="none"/>
        </w:rPr>
      </w:pPr>
      <w:bookmarkStart w:id="538" w:name="_Toc73364899"/>
      <w:bookmarkStart w:id="539" w:name="_Toc18681"/>
      <w:bookmarkStart w:id="540" w:name="_Toc73365512"/>
      <w:r>
        <w:rPr>
          <w:rFonts w:ascii="宋体" w:hAnsi="宋体"/>
          <w:color w:val="auto"/>
          <w:sz w:val="36"/>
          <w:highlight w:val="none"/>
        </w:rPr>
        <w:t>第四部分</w:t>
      </w:r>
      <w:r>
        <w:rPr>
          <w:rFonts w:hint="eastAsia" w:ascii="宋体" w:hAnsi="宋体"/>
          <w:color w:val="auto"/>
          <w:sz w:val="36"/>
          <w:highlight w:val="none"/>
        </w:rPr>
        <w:t xml:space="preserve">  采购需求</w:t>
      </w:r>
      <w:bookmarkEnd w:id="538"/>
      <w:bookmarkEnd w:id="539"/>
      <w:bookmarkEnd w:id="540"/>
      <w:bookmarkStart w:id="541" w:name="EB69fca8740d1f4b0e9a8dbc98881cd3d4"/>
    </w:p>
    <w:p w14:paraId="6982202F">
      <w:pPr>
        <w:pStyle w:val="252"/>
        <w:keepNext w:val="0"/>
        <w:keepLines w:val="0"/>
        <w:pageBreakBefore w:val="0"/>
        <w:widowControl/>
        <w:spacing w:before="240" w:after="240"/>
        <w:rPr>
          <w:rStyle w:val="192"/>
          <w:rFonts w:ascii="Times New Roman" w:hAnsi="Times New Roman" w:eastAsia="Times New Roman" w:cs="Times New Roman"/>
          <w:color w:val="auto"/>
          <w:sz w:val="24"/>
          <w:szCs w:val="24"/>
          <w:highlight w:val="none"/>
        </w:rPr>
      </w:pPr>
      <w:r>
        <w:rPr>
          <w:rStyle w:val="251"/>
          <w:color w:val="auto"/>
          <w:highlight w:val="none"/>
        </w:rPr>
        <w:t>一.项目概况</w:t>
      </w:r>
    </w:p>
    <w:p w14:paraId="577AA414">
      <w:pPr>
        <w:pStyle w:val="252"/>
        <w:keepNext w:val="0"/>
        <w:keepLines w:val="0"/>
        <w:pageBreakBefore w:val="0"/>
        <w:widowControl/>
        <w:spacing w:line="360" w:lineRule="auto"/>
        <w:ind w:firstLine="440"/>
        <w:rPr>
          <w:rStyle w:val="192"/>
          <w:rFonts w:hint="eastAsia" w:ascii="宋体" w:hAnsi="宋体" w:eastAsia="宋体" w:cs="宋体"/>
          <w:color w:val="auto"/>
          <w:sz w:val="22"/>
          <w:szCs w:val="22"/>
          <w:highlight w:val="none"/>
        </w:rPr>
      </w:pPr>
      <w:r>
        <w:rPr>
          <w:rStyle w:val="192"/>
          <w:rFonts w:hint="eastAsia" w:ascii="宋体" w:hAnsi="宋体" w:eastAsia="宋体" w:cs="宋体"/>
          <w:color w:val="auto"/>
          <w:sz w:val="22"/>
          <w:szCs w:val="22"/>
          <w:highlight w:val="none"/>
          <w:lang w:val="en-US" w:eastAsia="zh-CN"/>
        </w:rPr>
        <w:t>本项目为丹阳市正则高级中学宿舍修缮出新项目，主要建设内容为对丹阳市正则高级中学1、2、3号宿舍楼内墙、门窗以及卫生间等进行修缮出新，总建筑面积约6300平方米。</w:t>
      </w:r>
    </w:p>
    <w:p w14:paraId="6363C808">
      <w:pPr>
        <w:pStyle w:val="252"/>
        <w:keepNext w:val="0"/>
        <w:keepLines w:val="0"/>
        <w:pageBreakBefore w:val="0"/>
        <w:widowControl/>
        <w:spacing w:line="360" w:lineRule="auto"/>
        <w:ind w:firstLine="440"/>
        <w:rPr>
          <w:rStyle w:val="192"/>
          <w:rFonts w:ascii="Times New Roman" w:hAnsi="Times New Roman" w:eastAsia="Times New Roman" w:cs="Times New Roman"/>
          <w:color w:val="auto"/>
          <w:sz w:val="22"/>
          <w:szCs w:val="22"/>
          <w:highlight w:val="none"/>
        </w:rPr>
      </w:pPr>
      <w:r>
        <w:rPr>
          <w:rStyle w:val="192"/>
          <w:rFonts w:hint="eastAsia" w:ascii="宋体" w:hAnsi="宋体" w:eastAsia="宋体" w:cs="宋体"/>
          <w:color w:val="auto"/>
          <w:sz w:val="22"/>
          <w:szCs w:val="22"/>
          <w:highlight w:val="none"/>
          <w:lang w:eastAsia="zh-CN"/>
        </w:rPr>
        <w:t>各供应商应认真研读本磋商文件中的采购要求（包含工程量清单及设计文件），并进行相应的现场勘测工作，在充分了解本项目采购范围后结合自身实际情况进行响应文件的制作和报价。</w:t>
      </w:r>
    </w:p>
    <w:p w14:paraId="39192C36">
      <w:pPr>
        <w:pStyle w:val="252"/>
        <w:keepNext w:val="0"/>
        <w:keepLines w:val="0"/>
        <w:pageBreakBefore w:val="0"/>
        <w:widowControl/>
        <w:spacing w:line="360" w:lineRule="auto"/>
        <w:ind w:firstLine="440"/>
        <w:rPr>
          <w:rStyle w:val="192"/>
          <w:rFonts w:hint="eastAsia" w:ascii="Times New Roman" w:hAnsi="Times New Roman" w:eastAsia="宋体" w:cs="Times New Roman"/>
          <w:color w:val="auto"/>
          <w:sz w:val="22"/>
          <w:szCs w:val="22"/>
          <w:highlight w:val="none"/>
        </w:rPr>
      </w:pPr>
      <w:r>
        <w:rPr>
          <w:rStyle w:val="192"/>
          <w:rFonts w:ascii="宋体" w:hAnsi="宋体" w:eastAsia="宋体" w:cs="宋体"/>
          <w:color w:val="auto"/>
          <w:sz w:val="22"/>
          <w:szCs w:val="22"/>
          <w:highlight w:val="none"/>
        </w:rPr>
        <w:t>项目所属行业：</w:t>
      </w:r>
      <w:r>
        <w:rPr>
          <w:rStyle w:val="192"/>
          <w:rFonts w:hint="eastAsia" w:ascii="宋体" w:hAnsi="宋体" w:eastAsia="宋体" w:cs="宋体"/>
          <w:color w:val="auto"/>
          <w:sz w:val="22"/>
          <w:szCs w:val="22"/>
          <w:highlight w:val="none"/>
          <w:lang w:eastAsia="zh-CN"/>
        </w:rPr>
        <w:t>建筑业</w:t>
      </w:r>
    </w:p>
    <w:p w14:paraId="0E4CBAA7">
      <w:pPr>
        <w:pStyle w:val="252"/>
        <w:keepNext w:val="0"/>
        <w:keepLines w:val="0"/>
        <w:pageBreakBefore w:val="0"/>
        <w:widowControl/>
        <w:spacing w:before="240" w:after="240"/>
        <w:rPr>
          <w:rStyle w:val="251"/>
          <w:rFonts w:ascii="宋体" w:hAnsi="宋体" w:eastAsia="宋体" w:cs="宋体"/>
          <w:color w:val="auto"/>
          <w:highlight w:val="none"/>
        </w:rPr>
      </w:pPr>
      <w:r>
        <w:rPr>
          <w:rStyle w:val="251"/>
          <w:rFonts w:ascii="宋体" w:hAnsi="宋体" w:eastAsia="宋体" w:cs="宋体"/>
          <w:color w:val="auto"/>
          <w:highlight w:val="none"/>
        </w:rPr>
        <w:t>二.采购标的汇总表</w:t>
      </w:r>
    </w:p>
    <w:p w14:paraId="3C3CD2F7">
      <w:pPr>
        <w:pStyle w:val="252"/>
        <w:spacing w:before="240" w:after="240"/>
        <w:rPr>
          <w:rStyle w:val="192"/>
          <w:rFonts w:hint="eastAsia" w:ascii="宋体" w:hAnsi="宋体" w:eastAsia="宋体" w:cs="宋体"/>
          <w:color w:val="auto"/>
          <w:sz w:val="22"/>
          <w:szCs w:val="22"/>
          <w:highlight w:val="none"/>
        </w:rPr>
      </w:pPr>
      <w:r>
        <w:rPr>
          <w:rStyle w:val="192"/>
          <w:rFonts w:hint="eastAsia" w:ascii="宋体" w:hAnsi="宋体" w:eastAsia="宋体" w:cs="宋体"/>
          <w:color w:val="auto"/>
          <w:sz w:val="22"/>
          <w:szCs w:val="22"/>
          <w:highlight w:val="none"/>
        </w:rPr>
        <w:t>（一） 采购标的</w:t>
      </w:r>
    </w:p>
    <w:p w14:paraId="3484C4F4">
      <w:pPr>
        <w:pStyle w:val="252"/>
        <w:spacing w:before="240" w:after="240"/>
        <w:rPr>
          <w:rStyle w:val="192"/>
          <w:rFonts w:hint="eastAsia" w:ascii="宋体" w:hAnsi="宋体" w:eastAsia="宋体" w:cs="宋体"/>
          <w:color w:val="auto"/>
          <w:sz w:val="22"/>
          <w:szCs w:val="22"/>
          <w:highlight w:val="none"/>
        </w:rPr>
      </w:pPr>
      <w:r>
        <w:rPr>
          <w:rStyle w:val="192"/>
          <w:rFonts w:hint="eastAsia" w:ascii="宋体" w:hAnsi="宋体" w:eastAsia="宋体" w:cs="宋体"/>
          <w:color w:val="auto"/>
          <w:sz w:val="22"/>
          <w:szCs w:val="22"/>
          <w:highlight w:val="none"/>
        </w:rPr>
        <w:t>1.</w:t>
      </w:r>
      <w:r>
        <w:rPr>
          <w:rStyle w:val="192"/>
          <w:rFonts w:hint="eastAsia" w:ascii="宋体" w:hAnsi="宋体" w:eastAsia="宋体" w:cs="宋体"/>
          <w:color w:val="auto"/>
          <w:sz w:val="22"/>
          <w:szCs w:val="22"/>
          <w:highlight w:val="none"/>
          <w:lang w:eastAsia="zh-CN"/>
        </w:rPr>
        <w:t>工程</w:t>
      </w:r>
      <w:r>
        <w:rPr>
          <w:rStyle w:val="192"/>
          <w:rFonts w:hint="eastAsia" w:ascii="宋体" w:hAnsi="宋体" w:eastAsia="宋体" w:cs="宋体"/>
          <w:color w:val="auto"/>
          <w:sz w:val="22"/>
          <w:szCs w:val="22"/>
          <w:highlight w:val="none"/>
        </w:rPr>
        <w:t>类标的</w:t>
      </w:r>
    </w:p>
    <w:tbl>
      <w:tblPr>
        <w:tblStyle w:val="2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2"/>
        <w:gridCol w:w="3054"/>
        <w:gridCol w:w="820"/>
        <w:gridCol w:w="810"/>
        <w:gridCol w:w="3213"/>
        <w:gridCol w:w="983"/>
      </w:tblGrid>
      <w:tr w14:paraId="0E367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jc w:val="center"/>
        </w:trPr>
        <w:tc>
          <w:tcPr>
            <w:tcW w:w="702" w:type="dxa"/>
            <w:noWrap w:val="0"/>
            <w:vAlign w:val="center"/>
          </w:tcPr>
          <w:p w14:paraId="2B2F5463">
            <w:pPr>
              <w:pStyle w:val="252"/>
              <w:keepNext w:val="0"/>
              <w:keepLines w:val="0"/>
              <w:pageBreakBefore w:val="0"/>
              <w:widowControl/>
              <w:spacing w:line="240" w:lineRule="auto"/>
              <w:jc w:val="center"/>
              <w:rPr>
                <w:rStyle w:val="251"/>
                <w:rFonts w:hint="eastAsia" w:ascii="宋体" w:hAnsi="宋体" w:eastAsia="宋体" w:cs="宋体"/>
                <w:color w:val="auto"/>
                <w:sz w:val="22"/>
                <w:szCs w:val="22"/>
                <w:highlight w:val="none"/>
                <w:vertAlign w:val="baseline"/>
              </w:rPr>
            </w:pPr>
            <w:r>
              <w:rPr>
                <w:rStyle w:val="192"/>
                <w:rFonts w:hint="eastAsia" w:ascii="宋体" w:hAnsi="宋体" w:eastAsia="宋体" w:cs="宋体"/>
                <w:b/>
                <w:bCs/>
                <w:i w:val="0"/>
                <w:iCs w:val="0"/>
                <w:smallCaps w:val="0"/>
                <w:color w:val="auto"/>
                <w:sz w:val="22"/>
                <w:szCs w:val="22"/>
                <w:highlight w:val="none"/>
              </w:rPr>
              <w:t>序号</w:t>
            </w:r>
          </w:p>
        </w:tc>
        <w:tc>
          <w:tcPr>
            <w:tcW w:w="3054" w:type="dxa"/>
            <w:noWrap w:val="0"/>
            <w:vAlign w:val="center"/>
          </w:tcPr>
          <w:p w14:paraId="671A213E">
            <w:pPr>
              <w:pStyle w:val="252"/>
              <w:keepNext w:val="0"/>
              <w:keepLines w:val="0"/>
              <w:pageBreakBefore w:val="0"/>
              <w:widowControl/>
              <w:spacing w:line="240" w:lineRule="auto"/>
              <w:jc w:val="center"/>
              <w:rPr>
                <w:rStyle w:val="251"/>
                <w:rFonts w:hint="eastAsia" w:ascii="宋体" w:hAnsi="宋体" w:eastAsia="宋体" w:cs="宋体"/>
                <w:color w:val="auto"/>
                <w:sz w:val="22"/>
                <w:szCs w:val="22"/>
                <w:highlight w:val="none"/>
                <w:vertAlign w:val="baseline"/>
              </w:rPr>
            </w:pPr>
            <w:r>
              <w:rPr>
                <w:rStyle w:val="192"/>
                <w:rFonts w:hint="eastAsia" w:ascii="宋体" w:hAnsi="宋体" w:eastAsia="宋体" w:cs="宋体"/>
                <w:b/>
                <w:bCs/>
                <w:i w:val="0"/>
                <w:iCs w:val="0"/>
                <w:smallCaps w:val="0"/>
                <w:color w:val="auto"/>
                <w:sz w:val="22"/>
                <w:szCs w:val="22"/>
                <w:highlight w:val="none"/>
              </w:rPr>
              <w:t>标的名称</w:t>
            </w:r>
          </w:p>
        </w:tc>
        <w:tc>
          <w:tcPr>
            <w:tcW w:w="820" w:type="dxa"/>
            <w:noWrap w:val="0"/>
            <w:vAlign w:val="center"/>
          </w:tcPr>
          <w:p w14:paraId="1B3F1B35">
            <w:pPr>
              <w:pStyle w:val="252"/>
              <w:keepNext w:val="0"/>
              <w:keepLines w:val="0"/>
              <w:pageBreakBefore w:val="0"/>
              <w:widowControl/>
              <w:spacing w:line="240" w:lineRule="auto"/>
              <w:jc w:val="center"/>
              <w:rPr>
                <w:rStyle w:val="192"/>
                <w:rFonts w:hint="eastAsia" w:ascii="宋体" w:hAnsi="宋体" w:eastAsia="宋体" w:cs="宋体"/>
                <w:b/>
                <w:bCs/>
                <w:i w:val="0"/>
                <w:iCs w:val="0"/>
                <w:smallCaps w:val="0"/>
                <w:color w:val="auto"/>
                <w:sz w:val="22"/>
                <w:szCs w:val="22"/>
                <w:highlight w:val="none"/>
              </w:rPr>
            </w:pPr>
            <w:r>
              <w:rPr>
                <w:rStyle w:val="192"/>
                <w:rFonts w:hint="eastAsia" w:ascii="宋体" w:hAnsi="宋体" w:eastAsia="宋体" w:cs="宋体"/>
                <w:b/>
                <w:bCs/>
                <w:i w:val="0"/>
                <w:iCs w:val="0"/>
                <w:smallCaps w:val="0"/>
                <w:color w:val="auto"/>
                <w:sz w:val="22"/>
                <w:szCs w:val="22"/>
                <w:highlight w:val="none"/>
              </w:rPr>
              <w:t>计量</w:t>
            </w:r>
          </w:p>
          <w:p w14:paraId="74A693FC">
            <w:pPr>
              <w:pStyle w:val="252"/>
              <w:keepNext w:val="0"/>
              <w:keepLines w:val="0"/>
              <w:pageBreakBefore w:val="0"/>
              <w:widowControl/>
              <w:spacing w:line="240" w:lineRule="auto"/>
              <w:jc w:val="center"/>
              <w:rPr>
                <w:rStyle w:val="251"/>
                <w:rFonts w:hint="eastAsia" w:ascii="宋体" w:hAnsi="宋体" w:eastAsia="宋体" w:cs="宋体"/>
                <w:color w:val="auto"/>
                <w:sz w:val="22"/>
                <w:szCs w:val="22"/>
                <w:highlight w:val="none"/>
                <w:vertAlign w:val="baseline"/>
              </w:rPr>
            </w:pPr>
            <w:r>
              <w:rPr>
                <w:rStyle w:val="192"/>
                <w:rFonts w:hint="eastAsia" w:ascii="宋体" w:hAnsi="宋体" w:eastAsia="宋体" w:cs="宋体"/>
                <w:b/>
                <w:bCs/>
                <w:i w:val="0"/>
                <w:iCs w:val="0"/>
                <w:smallCaps w:val="0"/>
                <w:color w:val="auto"/>
                <w:sz w:val="22"/>
                <w:szCs w:val="22"/>
                <w:highlight w:val="none"/>
              </w:rPr>
              <w:t>单位</w:t>
            </w:r>
          </w:p>
        </w:tc>
        <w:tc>
          <w:tcPr>
            <w:tcW w:w="810" w:type="dxa"/>
            <w:noWrap w:val="0"/>
            <w:vAlign w:val="center"/>
          </w:tcPr>
          <w:p w14:paraId="0BAF0F0D">
            <w:pPr>
              <w:pStyle w:val="252"/>
              <w:keepNext w:val="0"/>
              <w:keepLines w:val="0"/>
              <w:pageBreakBefore w:val="0"/>
              <w:widowControl/>
              <w:spacing w:line="240" w:lineRule="auto"/>
              <w:jc w:val="center"/>
              <w:rPr>
                <w:rStyle w:val="251"/>
                <w:rFonts w:hint="eastAsia" w:ascii="宋体" w:hAnsi="宋体" w:eastAsia="宋体" w:cs="宋体"/>
                <w:color w:val="auto"/>
                <w:sz w:val="22"/>
                <w:szCs w:val="22"/>
                <w:highlight w:val="none"/>
                <w:vertAlign w:val="baseline"/>
              </w:rPr>
            </w:pPr>
            <w:r>
              <w:rPr>
                <w:rStyle w:val="192"/>
                <w:rFonts w:hint="eastAsia" w:ascii="宋体" w:hAnsi="宋体" w:eastAsia="宋体" w:cs="宋体"/>
                <w:b/>
                <w:bCs/>
                <w:i w:val="0"/>
                <w:iCs w:val="0"/>
                <w:smallCaps w:val="0"/>
                <w:color w:val="auto"/>
                <w:sz w:val="22"/>
                <w:szCs w:val="22"/>
                <w:highlight w:val="none"/>
              </w:rPr>
              <w:t>数量</w:t>
            </w:r>
          </w:p>
        </w:tc>
        <w:tc>
          <w:tcPr>
            <w:tcW w:w="3213" w:type="dxa"/>
            <w:noWrap w:val="0"/>
            <w:vAlign w:val="center"/>
          </w:tcPr>
          <w:p w14:paraId="364ECD79">
            <w:pPr>
              <w:pStyle w:val="252"/>
              <w:keepNext w:val="0"/>
              <w:keepLines w:val="0"/>
              <w:pageBreakBefore w:val="0"/>
              <w:widowControl/>
              <w:spacing w:line="240" w:lineRule="auto"/>
              <w:jc w:val="center"/>
              <w:rPr>
                <w:rStyle w:val="251"/>
                <w:rFonts w:hint="eastAsia" w:ascii="宋体" w:hAnsi="宋体" w:eastAsia="宋体" w:cs="宋体"/>
                <w:color w:val="auto"/>
                <w:sz w:val="22"/>
                <w:szCs w:val="22"/>
                <w:highlight w:val="none"/>
                <w:vertAlign w:val="baseline"/>
              </w:rPr>
            </w:pPr>
            <w:r>
              <w:rPr>
                <w:rStyle w:val="192"/>
                <w:rFonts w:hint="eastAsia" w:ascii="宋体" w:hAnsi="宋体" w:eastAsia="宋体" w:cs="宋体"/>
                <w:b/>
                <w:bCs/>
                <w:i w:val="0"/>
                <w:iCs w:val="0"/>
                <w:smallCaps w:val="0"/>
                <w:color w:val="auto"/>
                <w:sz w:val="22"/>
                <w:szCs w:val="22"/>
                <w:highlight w:val="none"/>
              </w:rPr>
              <w:t>服务要求简述</w:t>
            </w:r>
          </w:p>
        </w:tc>
        <w:tc>
          <w:tcPr>
            <w:tcW w:w="983" w:type="dxa"/>
            <w:noWrap w:val="0"/>
            <w:vAlign w:val="center"/>
          </w:tcPr>
          <w:p w14:paraId="748A88B9">
            <w:pPr>
              <w:pStyle w:val="252"/>
              <w:keepNext w:val="0"/>
              <w:keepLines w:val="0"/>
              <w:pageBreakBefore w:val="0"/>
              <w:widowControl/>
              <w:spacing w:line="240" w:lineRule="auto"/>
              <w:jc w:val="center"/>
              <w:rPr>
                <w:rStyle w:val="251"/>
                <w:rFonts w:hint="eastAsia" w:ascii="宋体" w:hAnsi="宋体" w:eastAsia="宋体" w:cs="宋体"/>
                <w:color w:val="auto"/>
                <w:sz w:val="22"/>
                <w:szCs w:val="22"/>
                <w:highlight w:val="none"/>
                <w:vertAlign w:val="baseline"/>
              </w:rPr>
            </w:pPr>
            <w:r>
              <w:rPr>
                <w:rStyle w:val="192"/>
                <w:rFonts w:hint="eastAsia" w:ascii="宋体" w:hAnsi="宋体" w:eastAsia="宋体" w:cs="宋体"/>
                <w:b/>
                <w:bCs/>
                <w:i w:val="0"/>
                <w:iCs w:val="0"/>
                <w:smallCaps w:val="0"/>
                <w:color w:val="auto"/>
                <w:sz w:val="22"/>
                <w:szCs w:val="22"/>
                <w:highlight w:val="none"/>
              </w:rPr>
              <w:t>备注</w:t>
            </w:r>
          </w:p>
        </w:tc>
      </w:tr>
      <w:tr w14:paraId="0A617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jc w:val="center"/>
        </w:trPr>
        <w:tc>
          <w:tcPr>
            <w:tcW w:w="702" w:type="dxa"/>
            <w:noWrap w:val="0"/>
            <w:vAlign w:val="center"/>
          </w:tcPr>
          <w:p w14:paraId="0DE3166F">
            <w:pPr>
              <w:pStyle w:val="252"/>
              <w:keepNext w:val="0"/>
              <w:keepLines w:val="0"/>
              <w:pageBreakBefore w:val="0"/>
              <w:widowControl/>
              <w:spacing w:line="240" w:lineRule="auto"/>
              <w:jc w:val="center"/>
              <w:rPr>
                <w:rFonts w:hint="eastAsia" w:ascii="宋体" w:hAnsi="宋体" w:eastAsia="宋体" w:cs="宋体"/>
                <w:b w:val="0"/>
                <w:bCs w:val="0"/>
                <w:i w:val="0"/>
                <w:iCs w:val="0"/>
                <w:smallCaps w:val="0"/>
                <w:color w:val="auto"/>
                <w:sz w:val="22"/>
                <w:szCs w:val="22"/>
                <w:highlight w:val="none"/>
              </w:rPr>
            </w:pPr>
            <w:r>
              <w:rPr>
                <w:rStyle w:val="192"/>
                <w:rFonts w:hint="eastAsia" w:ascii="宋体" w:hAnsi="宋体" w:eastAsia="宋体" w:cs="宋体"/>
                <w:b w:val="0"/>
                <w:bCs w:val="0"/>
                <w:i w:val="0"/>
                <w:iCs w:val="0"/>
                <w:smallCaps w:val="0"/>
                <w:color w:val="auto"/>
                <w:sz w:val="22"/>
                <w:szCs w:val="22"/>
                <w:highlight w:val="none"/>
              </w:rPr>
              <w:t>1</w:t>
            </w:r>
          </w:p>
        </w:tc>
        <w:tc>
          <w:tcPr>
            <w:tcW w:w="3054" w:type="dxa"/>
            <w:noWrap w:val="0"/>
            <w:vAlign w:val="center"/>
          </w:tcPr>
          <w:p w14:paraId="443FD156">
            <w:pPr>
              <w:pStyle w:val="252"/>
              <w:keepNext w:val="0"/>
              <w:keepLines w:val="0"/>
              <w:pageBreakBefore w:val="0"/>
              <w:widowControl/>
              <w:spacing w:line="240" w:lineRule="auto"/>
              <w:jc w:val="center"/>
              <w:rPr>
                <w:rFonts w:hint="eastAsia" w:ascii="宋体" w:hAnsi="宋体" w:eastAsia="宋体" w:cs="宋体"/>
                <w:b w:val="0"/>
                <w:bCs w:val="0"/>
                <w:i w:val="0"/>
                <w:iCs w:val="0"/>
                <w:smallCaps w:val="0"/>
                <w:color w:val="auto"/>
                <w:sz w:val="22"/>
                <w:szCs w:val="22"/>
                <w:highlight w:val="none"/>
              </w:rPr>
            </w:pPr>
            <w:r>
              <w:rPr>
                <w:rStyle w:val="192"/>
                <w:rFonts w:hint="eastAsia" w:ascii="宋体" w:hAnsi="宋体" w:eastAsia="宋体" w:cs="宋体"/>
                <w:b w:val="0"/>
                <w:bCs w:val="0"/>
                <w:i w:val="0"/>
                <w:iCs w:val="0"/>
                <w:smallCaps w:val="0"/>
                <w:color w:val="auto"/>
                <w:sz w:val="22"/>
                <w:szCs w:val="22"/>
                <w:highlight w:val="none"/>
                <w:lang w:eastAsia="zh-CN"/>
              </w:rPr>
              <w:t>丹阳市正则高级中学宿舍修缮出新项目</w:t>
            </w:r>
          </w:p>
        </w:tc>
        <w:tc>
          <w:tcPr>
            <w:tcW w:w="820" w:type="dxa"/>
            <w:noWrap w:val="0"/>
            <w:vAlign w:val="center"/>
          </w:tcPr>
          <w:p w14:paraId="7EEF5617">
            <w:pPr>
              <w:pStyle w:val="252"/>
              <w:keepNext w:val="0"/>
              <w:keepLines w:val="0"/>
              <w:pageBreakBefore w:val="0"/>
              <w:widowControl/>
              <w:spacing w:line="240" w:lineRule="auto"/>
              <w:jc w:val="center"/>
              <w:rPr>
                <w:rFonts w:hint="eastAsia" w:ascii="宋体" w:hAnsi="宋体" w:eastAsia="宋体" w:cs="宋体"/>
                <w:b w:val="0"/>
                <w:bCs w:val="0"/>
                <w:i w:val="0"/>
                <w:iCs w:val="0"/>
                <w:smallCaps w:val="0"/>
                <w:color w:val="auto"/>
                <w:sz w:val="22"/>
                <w:szCs w:val="22"/>
                <w:highlight w:val="none"/>
              </w:rPr>
            </w:pPr>
            <w:r>
              <w:rPr>
                <w:rStyle w:val="192"/>
                <w:rFonts w:hint="eastAsia" w:ascii="宋体" w:hAnsi="宋体" w:eastAsia="宋体" w:cs="宋体"/>
                <w:b w:val="0"/>
                <w:bCs w:val="0"/>
                <w:i w:val="0"/>
                <w:iCs w:val="0"/>
                <w:smallCaps w:val="0"/>
                <w:color w:val="auto"/>
                <w:sz w:val="22"/>
                <w:szCs w:val="22"/>
                <w:highlight w:val="none"/>
              </w:rPr>
              <w:t>项</w:t>
            </w:r>
          </w:p>
        </w:tc>
        <w:tc>
          <w:tcPr>
            <w:tcW w:w="810" w:type="dxa"/>
            <w:noWrap w:val="0"/>
            <w:vAlign w:val="center"/>
          </w:tcPr>
          <w:p w14:paraId="40093613">
            <w:pPr>
              <w:pStyle w:val="252"/>
              <w:keepNext w:val="0"/>
              <w:keepLines w:val="0"/>
              <w:pageBreakBefore w:val="0"/>
              <w:widowControl/>
              <w:spacing w:line="240" w:lineRule="auto"/>
              <w:jc w:val="center"/>
              <w:rPr>
                <w:rFonts w:hint="eastAsia" w:ascii="宋体" w:hAnsi="宋体" w:eastAsia="宋体" w:cs="宋体"/>
                <w:b w:val="0"/>
                <w:bCs w:val="0"/>
                <w:i w:val="0"/>
                <w:iCs w:val="0"/>
                <w:smallCaps w:val="0"/>
                <w:color w:val="auto"/>
                <w:sz w:val="22"/>
                <w:szCs w:val="22"/>
                <w:highlight w:val="none"/>
              </w:rPr>
            </w:pPr>
            <w:r>
              <w:rPr>
                <w:rStyle w:val="192"/>
                <w:rFonts w:hint="eastAsia" w:ascii="宋体" w:hAnsi="宋体" w:eastAsia="宋体" w:cs="宋体"/>
                <w:b w:val="0"/>
                <w:bCs w:val="0"/>
                <w:i w:val="0"/>
                <w:iCs w:val="0"/>
                <w:smallCaps w:val="0"/>
                <w:color w:val="auto"/>
                <w:sz w:val="22"/>
                <w:szCs w:val="22"/>
                <w:highlight w:val="none"/>
              </w:rPr>
              <w:t>1.0</w:t>
            </w:r>
          </w:p>
        </w:tc>
        <w:tc>
          <w:tcPr>
            <w:tcW w:w="3213" w:type="dxa"/>
            <w:noWrap w:val="0"/>
            <w:vAlign w:val="center"/>
          </w:tcPr>
          <w:p w14:paraId="2205B5C3">
            <w:pPr>
              <w:pStyle w:val="252"/>
              <w:keepNext w:val="0"/>
              <w:keepLines w:val="0"/>
              <w:pageBreakBefore w:val="0"/>
              <w:widowControl/>
              <w:spacing w:line="240" w:lineRule="auto"/>
              <w:jc w:val="center"/>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详见采购需求、设计图纸及招标工程量清单</w:t>
            </w:r>
          </w:p>
        </w:tc>
        <w:tc>
          <w:tcPr>
            <w:tcW w:w="983" w:type="dxa"/>
            <w:noWrap w:val="0"/>
            <w:vAlign w:val="center"/>
          </w:tcPr>
          <w:p w14:paraId="2C59013F">
            <w:pPr>
              <w:pStyle w:val="252"/>
              <w:keepNext w:val="0"/>
              <w:keepLines w:val="0"/>
              <w:pageBreakBefore w:val="0"/>
              <w:widowControl/>
              <w:spacing w:line="240" w:lineRule="auto"/>
              <w:jc w:val="center"/>
              <w:rPr>
                <w:rStyle w:val="251"/>
                <w:rFonts w:hint="eastAsia" w:ascii="宋体" w:hAnsi="宋体" w:eastAsia="宋体" w:cs="宋体"/>
                <w:color w:val="auto"/>
                <w:sz w:val="22"/>
                <w:szCs w:val="22"/>
                <w:highlight w:val="none"/>
                <w:vertAlign w:val="baseline"/>
              </w:rPr>
            </w:pPr>
          </w:p>
        </w:tc>
      </w:tr>
    </w:tbl>
    <w:p w14:paraId="5617745C">
      <w:pPr>
        <w:pStyle w:val="252"/>
        <w:spacing w:before="240" w:after="240"/>
        <w:rPr>
          <w:rStyle w:val="192"/>
          <w:rFonts w:ascii="Times New Roman" w:hAnsi="Times New Roman" w:eastAsia="Times New Roman" w:cs="Times New Roman"/>
          <w:color w:val="auto"/>
          <w:sz w:val="24"/>
          <w:szCs w:val="24"/>
          <w:highlight w:val="none"/>
        </w:rPr>
      </w:pPr>
      <w:r>
        <w:rPr>
          <w:rStyle w:val="251"/>
          <w:color w:val="auto"/>
          <w:highlight w:val="none"/>
        </w:rPr>
        <w:t>三.技术和服务要求</w:t>
      </w:r>
    </w:p>
    <w:p w14:paraId="6B970384">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（一）</w:t>
      </w:r>
      <w:r>
        <w:rPr>
          <w:rStyle w:val="192"/>
          <w:rFonts w:hint="eastAsia" w:ascii="宋体" w:hAnsi="宋体" w:eastAsia="宋体" w:cs="宋体"/>
          <w:b w:val="0"/>
          <w:bCs w:val="0"/>
          <w:color w:val="auto"/>
          <w:sz w:val="22"/>
          <w:szCs w:val="22"/>
          <w:highlight w:val="none"/>
          <w:lang w:eastAsia="zh-CN"/>
        </w:rPr>
        <w:t>技术要求</w:t>
      </w:r>
    </w:p>
    <w:p w14:paraId="13F1A4A7">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ascii="宋体" w:hAnsi="宋体" w:eastAsia="宋体" w:cs="宋体"/>
          <w:b w:val="0"/>
          <w:bCs w:val="0"/>
          <w:color w:val="auto"/>
          <w:sz w:val="22"/>
          <w:szCs w:val="22"/>
          <w:highlight w:val="none"/>
        </w:rPr>
        <w:t>1.</w:t>
      </w:r>
      <w:r>
        <w:rPr>
          <w:rStyle w:val="192"/>
          <w:rFonts w:hint="eastAsia" w:ascii="宋体" w:hAnsi="宋体" w:eastAsia="宋体" w:cs="宋体"/>
          <w:b w:val="0"/>
          <w:bCs w:val="0"/>
          <w:color w:val="auto"/>
          <w:sz w:val="22"/>
          <w:szCs w:val="22"/>
          <w:highlight w:val="none"/>
        </w:rPr>
        <w:t>工程量清单及设计图纸详见公告，供应商自行下载。</w:t>
      </w:r>
    </w:p>
    <w:p w14:paraId="64FD25B3">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2.供应商所投产品材料规格、型号必须响应工程量清单及设计图纸中相关采购要求。磋商响应文件须根据工程量清单及设计图纸中所提到的材料详列出材料分析表，即本工程中拟使用材料的具体品牌、型号、规格，如取得成交资格后未经采购人同意不得随意变更调整。</w:t>
      </w:r>
    </w:p>
    <w:p w14:paraId="6997D519">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 xml:space="preserve">（二）项目注意事项 </w:t>
      </w:r>
    </w:p>
    <w:p w14:paraId="213CC45B">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 xml:space="preserve">1.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p>
    <w:p w14:paraId="6B1A24C5">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2.施工中如遇现场施工与原设计有异或与原设计有冲突，应及时报知采购人及设计方，并由采购人协调解决。</w:t>
      </w:r>
    </w:p>
    <w:p w14:paraId="74D3DB3A">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3.工程项目中所用所有主材必须征得采购人认可，采购人保留主材采购人供应的权利。</w:t>
      </w:r>
    </w:p>
    <w:p w14:paraId="63D61008">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lang w:eastAsia="zh-CN"/>
        </w:rPr>
        <w:t>（三）</w:t>
      </w:r>
      <w:r>
        <w:rPr>
          <w:rStyle w:val="192"/>
          <w:rFonts w:hint="eastAsia" w:ascii="宋体" w:hAnsi="宋体" w:eastAsia="宋体" w:cs="宋体"/>
          <w:b w:val="0"/>
          <w:bCs w:val="0"/>
          <w:color w:val="auto"/>
          <w:sz w:val="22"/>
          <w:szCs w:val="22"/>
          <w:highlight w:val="none"/>
        </w:rPr>
        <w:t>服务要求</w:t>
      </w:r>
    </w:p>
    <w:p w14:paraId="2DD24B99">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1.本工程缺陷责任期为两年，从本工程施工完成合同约定的全部内容验收之日起计。在缺陷责任期内，投标供应商须对由于工程本身质量原因造成的任何缺损进行免费修补或更换。中标供应商应在接到修理通知之日后24小时内派人修理，如中标供应商不在约定期限内派人修理，采购人可委托其他人员修理，由中标供应商承担维修费用。</w:t>
      </w:r>
    </w:p>
    <w:p w14:paraId="6F86D215">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2.</w:t>
      </w:r>
      <w:r>
        <w:rPr>
          <w:rStyle w:val="192"/>
          <w:rFonts w:hint="eastAsia" w:ascii="宋体" w:hAnsi="宋体" w:eastAsia="宋体" w:cs="宋体"/>
          <w:b w:val="0"/>
          <w:bCs w:val="0"/>
          <w:color w:val="auto"/>
          <w:sz w:val="22"/>
          <w:szCs w:val="22"/>
          <w:highlight w:val="none"/>
          <w:lang w:eastAsia="zh-CN"/>
        </w:rPr>
        <w:t>投标人必须确保项目负责人亲临现场开展巡视、指导工作，检查施工进度与质量；施工期间，项目施工员必须全程驻场。未经采购人同意，项目不得更换项目负责人及管理班子成员，否则，每更换项目负责人一次，采购人将从工程款中扣除</w:t>
      </w:r>
      <w:r>
        <w:rPr>
          <w:rStyle w:val="192"/>
          <w:rFonts w:hint="eastAsia" w:ascii="宋体" w:hAnsi="宋体" w:eastAsia="宋体" w:cs="宋体"/>
          <w:b w:val="0"/>
          <w:bCs w:val="0"/>
          <w:color w:val="auto"/>
          <w:sz w:val="22"/>
          <w:szCs w:val="22"/>
          <w:highlight w:val="none"/>
          <w:lang w:val="en-US" w:eastAsia="zh-CN"/>
        </w:rPr>
        <w:t>30000元；每更换管理班子其他成员一次，扣除5000元。</w:t>
      </w:r>
    </w:p>
    <w:p w14:paraId="644D4C53">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lang w:val="en-US" w:eastAsia="zh-CN"/>
        </w:rPr>
        <w:t>3</w:t>
      </w:r>
      <w:r>
        <w:rPr>
          <w:rStyle w:val="192"/>
          <w:rFonts w:hint="eastAsia" w:ascii="宋体" w:hAnsi="宋体" w:eastAsia="宋体" w:cs="宋体"/>
          <w:b w:val="0"/>
          <w:bCs w:val="0"/>
          <w:color w:val="auto"/>
          <w:sz w:val="22"/>
          <w:szCs w:val="22"/>
          <w:highlight w:val="none"/>
        </w:rPr>
        <w:t>.项目完工后必须提供本项目最终的详细图纸及相关全部资料（装订成册）。</w:t>
      </w:r>
    </w:p>
    <w:p w14:paraId="63BA1C72">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lang w:val="en-US" w:eastAsia="zh-CN"/>
        </w:rPr>
        <w:t>4</w:t>
      </w:r>
      <w:r>
        <w:rPr>
          <w:rStyle w:val="192"/>
          <w:rFonts w:hint="eastAsia" w:ascii="宋体" w:hAnsi="宋体" w:eastAsia="宋体" w:cs="宋体"/>
          <w:b w:val="0"/>
          <w:bCs w:val="0"/>
          <w:color w:val="auto"/>
          <w:sz w:val="22"/>
          <w:szCs w:val="22"/>
          <w:highlight w:val="none"/>
        </w:rPr>
        <w:t>.投标人承诺的工期不得超过采购文件规定的要求，如有逾期将按合同的相关条款执行。</w:t>
      </w:r>
    </w:p>
    <w:p w14:paraId="50E13EE7">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lang w:val="en-US" w:eastAsia="zh-CN"/>
        </w:rPr>
        <w:t>5</w:t>
      </w:r>
      <w:r>
        <w:rPr>
          <w:rStyle w:val="192"/>
          <w:rFonts w:hint="eastAsia" w:ascii="宋体" w:hAnsi="宋体" w:eastAsia="宋体" w:cs="宋体"/>
          <w:b w:val="0"/>
          <w:bCs w:val="0"/>
          <w:color w:val="auto"/>
          <w:sz w:val="22"/>
          <w:szCs w:val="22"/>
          <w:highlight w:val="none"/>
        </w:rPr>
        <w:t>.本工程由承包人以包工、包料、包质量、包安全的方式实施，承包人应对本工程负责，不得违法分包、转包。如一经发现上述行为，发包人单方有权立即终止工程承包合同，由此产生一切法律责任和经济损失均由承包单位承担。</w:t>
      </w:r>
    </w:p>
    <w:p w14:paraId="090A9CDE">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lang w:val="en-US" w:eastAsia="zh-CN"/>
        </w:rPr>
        <w:t>6</w:t>
      </w:r>
      <w:r>
        <w:rPr>
          <w:rStyle w:val="192"/>
          <w:rFonts w:hint="eastAsia" w:ascii="宋体" w:hAnsi="宋体" w:eastAsia="宋体" w:cs="宋体"/>
          <w:b w:val="0"/>
          <w:bCs w:val="0"/>
          <w:color w:val="auto"/>
          <w:sz w:val="22"/>
          <w:szCs w:val="22"/>
          <w:highlight w:val="none"/>
        </w:rPr>
        <w:t>.材料进场、土方及垃圾外运时须注意对业主方道路、道板及绿化等已有设施的保护，如有损坏，乙方应承诺恢复原样，相关维修费由乙方自理。</w:t>
      </w:r>
    </w:p>
    <w:p w14:paraId="7B4F2FEE">
      <w:pPr>
        <w:pStyle w:val="252"/>
        <w:keepNext w:val="0"/>
        <w:keepLines w:val="0"/>
        <w:pageBreakBefore w:val="0"/>
        <w:widowControl/>
        <w:spacing w:before="0" w:after="0" w:line="360" w:lineRule="auto"/>
        <w:ind w:firstLine="440"/>
        <w:jc w:val="left"/>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lang w:val="en-US" w:eastAsia="zh-CN"/>
        </w:rPr>
        <w:t>7</w:t>
      </w:r>
      <w:r>
        <w:rPr>
          <w:rStyle w:val="192"/>
          <w:rFonts w:hint="eastAsia" w:ascii="宋体" w:hAnsi="宋体" w:eastAsia="宋体" w:cs="宋体"/>
          <w:b w:val="0"/>
          <w:bCs w:val="0"/>
          <w:color w:val="auto"/>
          <w:sz w:val="22"/>
          <w:szCs w:val="22"/>
          <w:highlight w:val="none"/>
        </w:rPr>
        <w:t>.成交单位在施工过程中注意对已完工的成品保护，保证交付采购人使用的工程符合验收标准。</w:t>
      </w:r>
    </w:p>
    <w:p w14:paraId="23C40818">
      <w:pPr>
        <w:pStyle w:val="252"/>
        <w:spacing w:before="240" w:after="240"/>
        <w:rPr>
          <w:rStyle w:val="192"/>
          <w:rFonts w:ascii="Times New Roman" w:hAnsi="Times New Roman" w:eastAsia="Times New Roman" w:cs="Times New Roman"/>
          <w:color w:val="auto"/>
          <w:sz w:val="24"/>
          <w:szCs w:val="24"/>
          <w:highlight w:val="none"/>
        </w:rPr>
      </w:pPr>
      <w:r>
        <w:rPr>
          <w:rStyle w:val="251"/>
          <w:rFonts w:hint="eastAsia"/>
          <w:color w:val="auto"/>
          <w:highlight w:val="none"/>
        </w:rPr>
        <w:t>★</w:t>
      </w:r>
      <w:r>
        <w:rPr>
          <w:rStyle w:val="251"/>
          <w:color w:val="auto"/>
          <w:highlight w:val="none"/>
        </w:rPr>
        <w:t>四.商务部分</w:t>
      </w:r>
    </w:p>
    <w:p w14:paraId="24F82EDF">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ascii="宋体" w:hAnsi="宋体" w:eastAsia="宋体" w:cs="宋体"/>
          <w:b w:val="0"/>
          <w:bCs w:val="0"/>
          <w:color w:val="auto"/>
          <w:sz w:val="22"/>
          <w:szCs w:val="22"/>
          <w:highlight w:val="none"/>
        </w:rPr>
        <w:t>1.</w:t>
      </w:r>
      <w:r>
        <w:rPr>
          <w:rStyle w:val="192"/>
          <w:rFonts w:hint="default" w:ascii="宋体" w:hAnsi="宋体" w:eastAsia="宋体" w:cs="宋体"/>
          <w:b w:val="0"/>
          <w:bCs w:val="0"/>
          <w:color w:val="auto"/>
          <w:sz w:val="22"/>
          <w:szCs w:val="22"/>
          <w:highlight w:val="none"/>
          <w:lang w:val="en-US" w:eastAsia="zh-CN"/>
        </w:rPr>
        <w:t>工期：</w:t>
      </w:r>
      <w:r>
        <w:rPr>
          <w:rStyle w:val="192"/>
          <w:rFonts w:hint="eastAsia" w:ascii="宋体" w:hAnsi="宋体" w:eastAsia="宋体" w:cs="宋体"/>
          <w:b w:val="0"/>
          <w:bCs w:val="0"/>
          <w:color w:val="auto"/>
          <w:sz w:val="22"/>
          <w:szCs w:val="22"/>
          <w:highlight w:val="none"/>
          <w:lang w:val="en-US" w:eastAsia="zh-CN"/>
        </w:rPr>
        <w:t>45日历天</w:t>
      </w:r>
    </w:p>
    <w:p w14:paraId="0E74ADE2">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default" w:ascii="宋体" w:hAnsi="宋体" w:eastAsia="宋体" w:cs="宋体"/>
          <w:b w:val="0"/>
          <w:bCs w:val="0"/>
          <w:color w:val="auto"/>
          <w:sz w:val="22"/>
          <w:szCs w:val="22"/>
          <w:highlight w:val="none"/>
          <w:lang w:val="en-US" w:eastAsia="zh-CN"/>
        </w:rPr>
        <w:t>2.质量要求：</w:t>
      </w:r>
      <w:r>
        <w:rPr>
          <w:rStyle w:val="192"/>
          <w:rFonts w:hint="eastAsia" w:ascii="宋体" w:hAnsi="宋体" w:eastAsia="宋体" w:cs="宋体"/>
          <w:b w:val="0"/>
          <w:bCs w:val="0"/>
          <w:color w:val="auto"/>
          <w:sz w:val="22"/>
          <w:szCs w:val="22"/>
          <w:highlight w:val="none"/>
          <w:lang w:val="en-US" w:eastAsia="zh-CN"/>
        </w:rPr>
        <w:t>合格</w:t>
      </w:r>
    </w:p>
    <w:p w14:paraId="21A58DC6">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default" w:ascii="宋体" w:hAnsi="宋体" w:eastAsia="宋体" w:cs="宋体"/>
          <w:b w:val="0"/>
          <w:bCs w:val="0"/>
          <w:color w:val="auto"/>
          <w:sz w:val="22"/>
          <w:szCs w:val="22"/>
          <w:highlight w:val="none"/>
          <w:lang w:val="en-US" w:eastAsia="zh-CN"/>
        </w:rPr>
        <w:t>3.最高限价：</w:t>
      </w:r>
      <w:r>
        <w:rPr>
          <w:rStyle w:val="192"/>
          <w:rFonts w:hint="eastAsia" w:ascii="宋体" w:hAnsi="宋体" w:eastAsia="宋体" w:cs="宋体"/>
          <w:b w:val="0"/>
          <w:bCs w:val="0"/>
          <w:color w:val="auto"/>
          <w:sz w:val="22"/>
          <w:szCs w:val="22"/>
          <w:highlight w:val="none"/>
          <w:lang w:val="en-US" w:eastAsia="zh-CN"/>
        </w:rPr>
        <w:t>3518027.02</w:t>
      </w:r>
      <w:r>
        <w:rPr>
          <w:rStyle w:val="192"/>
          <w:rFonts w:hint="default" w:ascii="宋体" w:hAnsi="宋体" w:eastAsia="宋体" w:cs="宋体"/>
          <w:b w:val="0"/>
          <w:bCs w:val="0"/>
          <w:color w:val="auto"/>
          <w:sz w:val="22"/>
          <w:szCs w:val="22"/>
          <w:highlight w:val="none"/>
          <w:lang w:val="en-US" w:eastAsia="zh-CN"/>
        </w:rPr>
        <w:t>元，超过最高限价者为无效报价，按无效响应处理。</w:t>
      </w:r>
    </w:p>
    <w:p w14:paraId="66D2FC42">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default" w:ascii="宋体" w:hAnsi="宋体" w:eastAsia="宋体" w:cs="宋体"/>
          <w:b w:val="0"/>
          <w:bCs w:val="0"/>
          <w:color w:val="auto"/>
          <w:sz w:val="22"/>
          <w:szCs w:val="22"/>
          <w:highlight w:val="none"/>
          <w:lang w:val="en-US" w:eastAsia="zh-CN"/>
        </w:rPr>
        <w:t>4.付款方式：合同签订后甲方收到乙方提供的相应金额的正规发票后10个工作日内支付合同金额10%的预付款（不含暂列金额和暂估价）</w:t>
      </w:r>
      <w:r>
        <w:rPr>
          <w:rStyle w:val="192"/>
          <w:rFonts w:hint="eastAsia" w:ascii="宋体" w:hAnsi="宋体" w:eastAsia="宋体" w:cs="宋体"/>
          <w:b w:val="0"/>
          <w:bCs w:val="0"/>
          <w:color w:val="auto"/>
          <w:sz w:val="22"/>
          <w:szCs w:val="22"/>
          <w:highlight w:val="none"/>
          <w:lang w:val="en-US" w:eastAsia="zh-CN"/>
        </w:rPr>
        <w:t>；工程施工期间甲方按不超过监理、甲方核定已完工程量的80%向乙方支付工程进度款(甲方收到乙方提供的相应金额的正规发票后10个工作日内支付)；工程竣工验收合格，完成工程结算审计并将档案、管养等工程资料按甲方要求全部移交后，甲方按不超过丹阳市固定资产投资审计中心出具结算审计价的90%向承包人支付工程款（含已支付进度款）(甲方收到乙方提供的相应金额的正规发票后10个工作日内支付)；待项目缺陷责任期到期后，甲方凭丹阳市财政投资评审中心出具的竣工财务决算评审结论付清尾款</w:t>
      </w:r>
      <w:r>
        <w:rPr>
          <w:rStyle w:val="192"/>
          <w:rFonts w:hint="default" w:ascii="宋体" w:hAnsi="宋体" w:eastAsia="宋体" w:cs="宋体"/>
          <w:b w:val="0"/>
          <w:bCs w:val="0"/>
          <w:color w:val="auto"/>
          <w:sz w:val="22"/>
          <w:szCs w:val="22"/>
          <w:highlight w:val="none"/>
          <w:lang w:val="en-US" w:eastAsia="zh-CN"/>
        </w:rPr>
        <w:t>。</w:t>
      </w:r>
    </w:p>
    <w:p w14:paraId="396D5FA2">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5</w:t>
      </w:r>
      <w:r>
        <w:rPr>
          <w:rStyle w:val="192"/>
          <w:rFonts w:hint="default" w:ascii="宋体" w:hAnsi="宋体" w:eastAsia="宋体" w:cs="宋体"/>
          <w:b w:val="0"/>
          <w:bCs w:val="0"/>
          <w:color w:val="auto"/>
          <w:sz w:val="22"/>
          <w:szCs w:val="22"/>
          <w:highlight w:val="none"/>
          <w:lang w:val="en-US" w:eastAsia="zh-CN"/>
        </w:rPr>
        <w:t>.报价要求：</w:t>
      </w:r>
    </w:p>
    <w:p w14:paraId="10197418">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（1）</w:t>
      </w:r>
      <w:r>
        <w:rPr>
          <w:rStyle w:val="192"/>
          <w:rFonts w:hint="default" w:ascii="宋体" w:hAnsi="宋体" w:eastAsia="宋体" w:cs="宋体"/>
          <w:b w:val="0"/>
          <w:bCs w:val="0"/>
          <w:color w:val="auto"/>
          <w:sz w:val="22"/>
          <w:szCs w:val="22"/>
          <w:highlight w:val="none"/>
          <w:lang w:val="en-US" w:eastAsia="zh-CN"/>
        </w:rPr>
        <w:t>供应商对本项目所提供的工程建设服务，应报出最具有竞争力的价格。本工程项目采用固定单价报价方式，供应商应根据磋商文件所提供的工程量清单及图纸，计算出投标报价（即首次报价）。工程完工验收后成交供应商按照相关规定的程序上报竣工结算书至采购人，工程最终结算以审计后价格为准。风险范围以外（即工程调整或变更部分）的合同价款调整方法在合同中约定。</w:t>
      </w:r>
    </w:p>
    <w:p w14:paraId="56BDD3BC">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（2）</w:t>
      </w:r>
      <w:r>
        <w:rPr>
          <w:rStyle w:val="192"/>
          <w:rFonts w:hint="default" w:ascii="宋体" w:hAnsi="宋体" w:eastAsia="宋体" w:cs="宋体"/>
          <w:b w:val="0"/>
          <w:bCs w:val="0"/>
          <w:color w:val="auto"/>
          <w:sz w:val="22"/>
          <w:szCs w:val="22"/>
          <w:highlight w:val="none"/>
          <w:lang w:val="en-US" w:eastAsia="zh-CN"/>
        </w:rPr>
        <w:t>供应商应执行《建设工程工程量清单计价标准》</w:t>
      </w:r>
      <w:r>
        <w:rPr>
          <w:rStyle w:val="192"/>
          <w:rFonts w:hint="eastAsia" w:ascii="宋体" w:hAnsi="宋体" w:eastAsia="宋体" w:cs="宋体"/>
          <w:b w:val="0"/>
          <w:bCs w:val="0"/>
          <w:color w:val="auto"/>
          <w:sz w:val="22"/>
          <w:szCs w:val="22"/>
          <w:highlight w:val="none"/>
          <w:lang w:val="en-US" w:eastAsia="zh-CN"/>
        </w:rPr>
        <w:t>（GB/T50500-2024）</w:t>
      </w:r>
      <w:r>
        <w:rPr>
          <w:rStyle w:val="192"/>
          <w:rFonts w:hint="default" w:ascii="宋体" w:hAnsi="宋体" w:eastAsia="宋体" w:cs="宋体"/>
          <w:b w:val="0"/>
          <w:bCs w:val="0"/>
          <w:color w:val="auto"/>
          <w:sz w:val="22"/>
          <w:szCs w:val="22"/>
          <w:highlight w:val="none"/>
          <w:lang w:val="en-US" w:eastAsia="zh-CN"/>
        </w:rPr>
        <w:t>中相关内容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p>
    <w:p w14:paraId="56090603">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（3）</w:t>
      </w:r>
      <w:r>
        <w:rPr>
          <w:rStyle w:val="192"/>
          <w:rFonts w:hint="default" w:ascii="宋体" w:hAnsi="宋体" w:eastAsia="宋体" w:cs="宋体"/>
          <w:b w:val="0"/>
          <w:bCs w:val="0"/>
          <w:color w:val="auto"/>
          <w:sz w:val="22"/>
          <w:szCs w:val="22"/>
          <w:highlight w:val="none"/>
          <w:lang w:val="en-US" w:eastAsia="zh-CN"/>
        </w:rPr>
        <w:t>每种工程量只允许有一种报价，任何有选择报价将不予接受。供应商必须对磋商文件中所采购的所有工程量进行报价，只报其中部分工程量的磋商响应文件无效。</w:t>
      </w:r>
    </w:p>
    <w:p w14:paraId="423FF918">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（4）</w:t>
      </w:r>
      <w:r>
        <w:rPr>
          <w:rStyle w:val="192"/>
          <w:rFonts w:hint="default" w:ascii="宋体" w:hAnsi="宋体" w:eastAsia="宋体" w:cs="宋体"/>
          <w:b w:val="0"/>
          <w:bCs w:val="0"/>
          <w:color w:val="auto"/>
          <w:sz w:val="22"/>
          <w:szCs w:val="22"/>
          <w:highlight w:val="none"/>
          <w:lang w:val="en-US" w:eastAsia="zh-CN"/>
        </w:rPr>
        <w:t>供应商应严格按磋商文件提供的工程量清单报价，不得随意合并或增减，否则视为无效投标。</w:t>
      </w:r>
    </w:p>
    <w:p w14:paraId="786722FF">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（5）</w:t>
      </w:r>
      <w:r>
        <w:rPr>
          <w:rStyle w:val="192"/>
          <w:rFonts w:hint="default" w:ascii="宋体" w:hAnsi="宋体" w:eastAsia="宋体" w:cs="宋体"/>
          <w:b w:val="0"/>
          <w:bCs w:val="0"/>
          <w:color w:val="auto"/>
          <w:sz w:val="22"/>
          <w:szCs w:val="22"/>
          <w:highlight w:val="none"/>
          <w:lang w:val="en-US" w:eastAsia="zh-CN"/>
        </w:rPr>
        <w:t>供应商不得将以下不可竞争费用降低标准计取，否则视为无效投标：</w:t>
      </w:r>
    </w:p>
    <w:p w14:paraId="06A03B9A">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 xml:space="preserve">① </w:t>
      </w:r>
      <w:r>
        <w:rPr>
          <w:rStyle w:val="192"/>
          <w:rFonts w:hint="default" w:ascii="宋体" w:hAnsi="宋体" w:eastAsia="宋体" w:cs="宋体"/>
          <w:b w:val="0"/>
          <w:bCs w:val="0"/>
          <w:color w:val="auto"/>
          <w:sz w:val="22"/>
          <w:szCs w:val="22"/>
          <w:highlight w:val="none"/>
          <w:lang w:val="en-US" w:eastAsia="zh-CN"/>
        </w:rPr>
        <w:t>财政、税收、物价等部门批准的税金和行政性规费；</w:t>
      </w:r>
    </w:p>
    <w:p w14:paraId="31695CE3">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 xml:space="preserve">② </w:t>
      </w:r>
      <w:r>
        <w:rPr>
          <w:rStyle w:val="192"/>
          <w:rFonts w:hint="default" w:ascii="宋体" w:hAnsi="宋体" w:eastAsia="宋体" w:cs="宋体"/>
          <w:b w:val="0"/>
          <w:bCs w:val="0"/>
          <w:color w:val="auto"/>
          <w:sz w:val="22"/>
          <w:szCs w:val="22"/>
          <w:highlight w:val="none"/>
          <w:lang w:val="en-US" w:eastAsia="zh-CN"/>
        </w:rPr>
        <w:t>磋商文件明确的有关费用比例；</w:t>
      </w:r>
    </w:p>
    <w:p w14:paraId="08F82898">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 xml:space="preserve">③ </w:t>
      </w:r>
      <w:r>
        <w:rPr>
          <w:rStyle w:val="192"/>
          <w:rFonts w:hint="default" w:ascii="宋体" w:hAnsi="宋体" w:eastAsia="宋体" w:cs="宋体"/>
          <w:b w:val="0"/>
          <w:bCs w:val="0"/>
          <w:color w:val="auto"/>
          <w:sz w:val="22"/>
          <w:szCs w:val="22"/>
          <w:highlight w:val="none"/>
          <w:lang w:val="en-US" w:eastAsia="zh-CN"/>
        </w:rPr>
        <w:t>磋商文件中已经明确固定价格的材料、采购人供应的材料及暂定暂估的费用。</w:t>
      </w:r>
    </w:p>
    <w:p w14:paraId="59A7051D">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（6）</w:t>
      </w:r>
      <w:r>
        <w:rPr>
          <w:rStyle w:val="192"/>
          <w:rFonts w:hint="default" w:ascii="宋体" w:hAnsi="宋体" w:eastAsia="宋体" w:cs="宋体"/>
          <w:b w:val="0"/>
          <w:bCs w:val="0"/>
          <w:color w:val="auto"/>
          <w:sz w:val="22"/>
          <w:szCs w:val="22"/>
          <w:highlight w:val="none"/>
          <w:lang w:val="en-US" w:eastAsia="zh-CN"/>
        </w:rPr>
        <w:t>磋商报价应以人民币报价。</w:t>
      </w:r>
    </w:p>
    <w:p w14:paraId="120F84F9">
      <w:pPr>
        <w:pStyle w:val="252"/>
        <w:keepNext w:val="0"/>
        <w:keepLines w:val="0"/>
        <w:pageBreakBefore w:val="0"/>
        <w:widowControl/>
        <w:spacing w:line="360" w:lineRule="auto"/>
        <w:ind w:firstLine="440"/>
        <w:rPr>
          <w:rStyle w:val="192"/>
          <w:rFonts w:hint="default" w:ascii="宋体" w:hAnsi="宋体" w:eastAsia="宋体" w:cs="宋体"/>
          <w:b w:val="0"/>
          <w:bCs w:val="0"/>
          <w:color w:val="auto"/>
          <w:sz w:val="22"/>
          <w:szCs w:val="22"/>
          <w:highlight w:val="none"/>
          <w:lang w:val="en-US" w:eastAsia="zh-CN"/>
        </w:rPr>
      </w:pPr>
      <w:r>
        <w:rPr>
          <w:rStyle w:val="192"/>
          <w:rFonts w:hint="eastAsia" w:ascii="宋体" w:hAnsi="宋体" w:eastAsia="宋体" w:cs="宋体"/>
          <w:b w:val="0"/>
          <w:bCs w:val="0"/>
          <w:color w:val="auto"/>
          <w:sz w:val="22"/>
          <w:szCs w:val="22"/>
          <w:highlight w:val="none"/>
          <w:lang w:val="en-US" w:eastAsia="zh-CN"/>
        </w:rPr>
        <w:t>（7）</w:t>
      </w:r>
      <w:r>
        <w:rPr>
          <w:rStyle w:val="192"/>
          <w:rFonts w:hint="default" w:ascii="宋体" w:hAnsi="宋体" w:eastAsia="宋体" w:cs="宋体"/>
          <w:b w:val="0"/>
          <w:bCs w:val="0"/>
          <w:color w:val="auto"/>
          <w:sz w:val="22"/>
          <w:szCs w:val="22"/>
          <w:highlight w:val="none"/>
          <w:lang w:val="en-US" w:eastAsia="zh-CN"/>
        </w:rPr>
        <w:t>在磋商过程中未对磋商内容作出实质性变更、修改的情况下，如最后报价超过首轮报价，则最后报价无效，以其首轮报价作为最终报价。</w:t>
      </w:r>
    </w:p>
    <w:p w14:paraId="570BCC87">
      <w:pPr>
        <w:pStyle w:val="252"/>
        <w:keepNext w:val="0"/>
        <w:keepLines w:val="0"/>
        <w:pageBreakBefore w:val="0"/>
        <w:widowControl/>
        <w:spacing w:line="360" w:lineRule="auto"/>
        <w:ind w:firstLine="440"/>
        <w:rPr>
          <w:rStyle w:val="192"/>
          <w:rFonts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lang w:val="en-US" w:eastAsia="zh-CN"/>
        </w:rPr>
        <w:t>6</w:t>
      </w:r>
      <w:r>
        <w:rPr>
          <w:rStyle w:val="192"/>
          <w:rFonts w:hint="default" w:ascii="宋体" w:hAnsi="宋体" w:eastAsia="宋体" w:cs="宋体"/>
          <w:b w:val="0"/>
          <w:bCs w:val="0"/>
          <w:color w:val="auto"/>
          <w:sz w:val="22"/>
          <w:szCs w:val="22"/>
          <w:highlight w:val="none"/>
          <w:lang w:val="en-US" w:eastAsia="zh-CN"/>
        </w:rPr>
        <w:t>.投标货币：投标文件中的所有设备单价和总价采用人民币报价，以元为单位标注</w:t>
      </w:r>
      <w:r>
        <w:rPr>
          <w:rStyle w:val="192"/>
          <w:rFonts w:hint="eastAsia" w:ascii="宋体" w:hAnsi="宋体" w:eastAsia="宋体" w:cs="宋体"/>
          <w:b w:val="0"/>
          <w:bCs w:val="0"/>
          <w:color w:val="auto"/>
          <w:sz w:val="22"/>
          <w:szCs w:val="22"/>
          <w:highlight w:val="none"/>
          <w:lang w:val="en-US" w:eastAsia="zh-CN"/>
        </w:rPr>
        <w:t>。</w:t>
      </w:r>
    </w:p>
    <w:p w14:paraId="2A495202">
      <w:pPr>
        <w:pStyle w:val="252"/>
        <w:spacing w:before="240" w:after="240"/>
        <w:rPr>
          <w:rStyle w:val="192"/>
          <w:rFonts w:ascii="Times New Roman" w:hAnsi="Times New Roman" w:eastAsia="Times New Roman" w:cs="Times New Roman"/>
          <w:color w:val="auto"/>
          <w:sz w:val="24"/>
          <w:szCs w:val="24"/>
          <w:highlight w:val="none"/>
        </w:rPr>
      </w:pPr>
      <w:r>
        <w:rPr>
          <w:rStyle w:val="251"/>
          <w:color w:val="auto"/>
          <w:highlight w:val="none"/>
        </w:rPr>
        <w:t>五.其他要求</w:t>
      </w:r>
    </w:p>
    <w:p w14:paraId="74632DDF">
      <w:pPr>
        <w:pStyle w:val="252"/>
        <w:keepNext w:val="0"/>
        <w:keepLines w:val="0"/>
        <w:pageBreakBefore w:val="0"/>
        <w:widowControl/>
        <w:spacing w:line="360" w:lineRule="auto"/>
        <w:ind w:left="437" w:firstLine="0"/>
        <w:rPr>
          <w:rStyle w:val="192"/>
          <w:rFonts w:hint="eastAsia" w:ascii="宋体" w:hAnsi="宋体" w:eastAsia="宋体" w:cs="宋体"/>
          <w:b w:val="0"/>
          <w:bCs w:val="0"/>
          <w:color w:val="auto"/>
          <w:sz w:val="22"/>
          <w:szCs w:val="22"/>
          <w:highlight w:val="none"/>
        </w:rPr>
      </w:pPr>
      <w:r>
        <w:rPr>
          <w:rStyle w:val="192"/>
          <w:rFonts w:hint="eastAsia" w:ascii="宋体" w:hAnsi="宋体" w:eastAsia="宋体" w:cs="宋体"/>
          <w:b w:val="0"/>
          <w:bCs w:val="0"/>
          <w:color w:val="auto"/>
          <w:sz w:val="22"/>
          <w:szCs w:val="22"/>
          <w:highlight w:val="none"/>
        </w:rPr>
        <w:t>对项目需求部分的询问、质疑请向采购人提出，询问、质疑由采购人负责解释</w:t>
      </w:r>
      <w:r>
        <w:rPr>
          <w:rStyle w:val="192"/>
          <w:rFonts w:hint="eastAsia" w:ascii="宋体" w:hAnsi="宋体" w:eastAsia="宋体" w:cs="宋体"/>
          <w:b w:val="0"/>
          <w:bCs w:val="0"/>
          <w:color w:val="auto"/>
          <w:sz w:val="22"/>
          <w:szCs w:val="22"/>
          <w:highlight w:val="none"/>
          <w:lang w:eastAsia="zh-CN"/>
        </w:rPr>
        <w:t>。</w:t>
      </w:r>
    </w:p>
    <w:p w14:paraId="01A59A03">
      <w:pPr>
        <w:pStyle w:val="252"/>
        <w:keepNext w:val="0"/>
        <w:keepLines w:val="0"/>
        <w:pageBreakBefore w:val="0"/>
        <w:widowControl/>
        <w:spacing w:before="0" w:after="0" w:line="360" w:lineRule="auto"/>
        <w:ind w:firstLine="440"/>
        <w:jc w:val="left"/>
        <w:rPr>
          <w:rFonts w:hint="eastAsia"/>
          <w:color w:val="auto"/>
          <w:sz w:val="20"/>
          <w:highlight w:val="none"/>
        </w:rPr>
      </w:pPr>
      <w:r>
        <w:rPr>
          <w:rStyle w:val="192"/>
          <w:rFonts w:hint="eastAsia" w:ascii="宋体" w:hAnsi="宋体" w:eastAsia="宋体" w:cs="宋体"/>
          <w:b w:val="0"/>
          <w:bCs w:val="0"/>
          <w:color w:val="auto"/>
          <w:sz w:val="22"/>
          <w:szCs w:val="22"/>
          <w:highlight w:val="none"/>
        </w:rPr>
        <w:t>注：采购需求部分标注“★”实质性要求，不允许负偏离，否则作为无效投标处理。</w:t>
      </w:r>
      <w:r>
        <w:rPr>
          <w:rFonts w:hint="eastAsia"/>
          <w:color w:val="auto"/>
          <w:sz w:val="20"/>
          <w:highlight w:val="none"/>
        </w:rPr>
        <w:t xml:space="preserve"> </w:t>
      </w:r>
      <w:bookmarkEnd w:id="541"/>
    </w:p>
    <w:p w14:paraId="11E54AA2">
      <w:pPr>
        <w:pStyle w:val="188"/>
        <w:jc w:val="center"/>
        <w:rPr>
          <w:color w:val="auto"/>
          <w:highlight w:val="none"/>
        </w:rPr>
      </w:pPr>
      <w:bookmarkStart w:id="542" w:name="_Toc73365513"/>
      <w:bookmarkStart w:id="543" w:name="_Toc73364900"/>
      <w:r>
        <w:rPr>
          <w:rFonts w:hint="eastAsia" w:ascii="宋体" w:hAnsi="宋体"/>
          <w:color w:val="auto"/>
          <w:sz w:val="36"/>
          <w:highlight w:val="none"/>
        </w:rPr>
        <w:br w:type="page" w:clear="all"/>
      </w:r>
      <w:bookmarkStart w:id="544" w:name="_Toc28019"/>
      <w:r>
        <w:rPr>
          <w:rFonts w:hint="eastAsia" w:ascii="宋体" w:hAnsi="宋体"/>
          <w:color w:val="auto"/>
          <w:sz w:val="36"/>
          <w:highlight w:val="none"/>
        </w:rPr>
        <w:t>第五部分  磋商及评审</w:t>
      </w:r>
      <w:bookmarkEnd w:id="542"/>
      <w:bookmarkEnd w:id="543"/>
      <w:bookmarkEnd w:id="544"/>
    </w:p>
    <w:p w14:paraId="176433C8">
      <w:pPr>
        <w:pStyle w:val="189"/>
        <w:spacing w:line="400" w:lineRule="exact"/>
        <w:ind w:firstLine="321"/>
        <w:jc w:val="left"/>
        <w:rPr>
          <w:rFonts w:ascii="宋体" w:hAnsi="宋体" w:eastAsia="宋体"/>
          <w:color w:val="auto"/>
          <w:sz w:val="32"/>
          <w:highlight w:val="none"/>
        </w:rPr>
      </w:pPr>
      <w:bookmarkStart w:id="545" w:name="_Toc73365514"/>
      <w:bookmarkStart w:id="546" w:name="_Toc27990"/>
      <w:bookmarkStart w:id="547" w:name="_Toc73364901"/>
      <w:r>
        <w:rPr>
          <w:rFonts w:hint="eastAsia" w:ascii="宋体" w:hAnsi="宋体" w:eastAsia="宋体"/>
          <w:color w:val="auto"/>
          <w:sz w:val="32"/>
          <w:highlight w:val="none"/>
        </w:rPr>
        <w:t>1．</w:t>
      </w:r>
      <w:r>
        <w:rPr>
          <w:rFonts w:ascii="宋体" w:hAnsi="宋体" w:eastAsia="宋体"/>
          <w:color w:val="auto"/>
          <w:sz w:val="32"/>
          <w:highlight w:val="none"/>
        </w:rPr>
        <w:t>磋商小组职责</w:t>
      </w:r>
      <w:bookmarkEnd w:id="545"/>
      <w:bookmarkEnd w:id="546"/>
      <w:bookmarkEnd w:id="547"/>
    </w:p>
    <w:p w14:paraId="180ACFCE">
      <w:pPr>
        <w:widowControl/>
        <w:spacing w:line="360" w:lineRule="auto"/>
        <w:ind w:firstLine="420"/>
        <w:rPr>
          <w:rFonts w:ascii="宋体" w:hAnsi="宋体"/>
          <w:color w:val="auto"/>
          <w:sz w:val="24"/>
          <w:highlight w:val="none"/>
        </w:rPr>
      </w:pPr>
      <w:r>
        <w:rPr>
          <w:rFonts w:hint="eastAsia" w:ascii="宋体" w:hAnsi="宋体"/>
          <w:color w:val="auto"/>
          <w:sz w:val="24"/>
          <w:highlight w:val="none"/>
        </w:rPr>
        <w:t>1.1熟悉和理解磋商文件，如磋商文件内容违反国家有关强制性规定的，磋商小组应当停止评审并向采购人或者采购代理机构说明情况。</w:t>
      </w:r>
    </w:p>
    <w:p w14:paraId="722118F1">
      <w:pPr>
        <w:widowControl/>
        <w:spacing w:line="360" w:lineRule="auto"/>
        <w:ind w:firstLine="420"/>
        <w:rPr>
          <w:rFonts w:ascii="宋体" w:hAnsi="宋体"/>
          <w:color w:val="auto"/>
          <w:sz w:val="24"/>
          <w:highlight w:val="none"/>
        </w:rPr>
      </w:pPr>
      <w:r>
        <w:rPr>
          <w:rFonts w:hint="eastAsia" w:ascii="宋体" w:hAnsi="宋体"/>
          <w:color w:val="auto"/>
          <w:sz w:val="24"/>
          <w:highlight w:val="none"/>
        </w:rPr>
        <w:t>1.2按照客观、公正、审慎的原则，根据磋商文件规定的评审程序、评审方法和评审标准进行独立评审。</w:t>
      </w:r>
    </w:p>
    <w:p w14:paraId="55B849F9">
      <w:pPr>
        <w:widowControl/>
        <w:spacing w:line="360" w:lineRule="auto"/>
        <w:ind w:firstLine="420"/>
        <w:rPr>
          <w:rFonts w:ascii="宋体" w:hAnsi="宋体"/>
          <w:color w:val="auto"/>
          <w:sz w:val="24"/>
          <w:highlight w:val="none"/>
        </w:rPr>
      </w:pPr>
      <w:r>
        <w:rPr>
          <w:rFonts w:hint="eastAsia" w:ascii="宋体" w:hAnsi="宋体"/>
          <w:color w:val="auto"/>
          <w:sz w:val="24"/>
          <w:highlight w:val="none"/>
        </w:rPr>
        <w:t>1.3起草评审报告并进行签署。</w:t>
      </w:r>
    </w:p>
    <w:p w14:paraId="6079323A">
      <w:pPr>
        <w:widowControl/>
        <w:spacing w:line="360" w:lineRule="auto"/>
        <w:ind w:firstLine="420"/>
        <w:rPr>
          <w:rFonts w:ascii="宋体" w:hAnsi="宋体"/>
          <w:color w:val="auto"/>
          <w:sz w:val="24"/>
          <w:highlight w:val="none"/>
        </w:rPr>
      </w:pPr>
      <w:r>
        <w:rPr>
          <w:rFonts w:hint="eastAsia" w:ascii="宋体" w:hAnsi="宋体"/>
          <w:color w:val="auto"/>
          <w:sz w:val="24"/>
          <w:highlight w:val="none"/>
        </w:rPr>
        <w:t>1.4推荐成交供应商。</w:t>
      </w:r>
    </w:p>
    <w:p w14:paraId="489420B0">
      <w:pPr>
        <w:widowControl/>
        <w:spacing w:line="360" w:lineRule="auto"/>
        <w:ind w:firstLine="420"/>
        <w:rPr>
          <w:rFonts w:ascii="宋体" w:hAnsi="宋体"/>
          <w:color w:val="auto"/>
          <w:sz w:val="24"/>
          <w:highlight w:val="none"/>
        </w:rPr>
      </w:pPr>
      <w:r>
        <w:rPr>
          <w:rFonts w:hint="eastAsia" w:ascii="宋体" w:hAnsi="宋体"/>
          <w:color w:val="auto"/>
          <w:sz w:val="24"/>
          <w:highlight w:val="none"/>
        </w:rPr>
        <w:t>1.5向采购人、采购代理机构、财政部门或者其他监督部门报告非法干预评审工作的行为。</w:t>
      </w:r>
    </w:p>
    <w:p w14:paraId="033E70F7">
      <w:pPr>
        <w:widowControl/>
        <w:spacing w:line="360" w:lineRule="auto"/>
        <w:ind w:firstLine="420"/>
        <w:rPr>
          <w:rFonts w:ascii="宋体" w:hAnsi="宋体"/>
          <w:color w:val="auto"/>
          <w:sz w:val="24"/>
          <w:highlight w:val="none"/>
        </w:rPr>
      </w:pPr>
      <w:r>
        <w:rPr>
          <w:rFonts w:hint="eastAsia" w:ascii="宋体" w:hAnsi="宋体"/>
          <w:color w:val="auto"/>
          <w:sz w:val="24"/>
          <w:highlight w:val="none"/>
        </w:rPr>
        <w:t>1.6法律、法规和规章规定的其他职责。</w:t>
      </w:r>
    </w:p>
    <w:p w14:paraId="4F7C6B4E">
      <w:pPr>
        <w:pStyle w:val="189"/>
        <w:spacing w:line="400" w:lineRule="exact"/>
        <w:ind w:firstLine="321"/>
        <w:jc w:val="left"/>
        <w:rPr>
          <w:rFonts w:ascii="宋体" w:hAnsi="宋体" w:eastAsia="宋体"/>
          <w:color w:val="auto"/>
          <w:sz w:val="32"/>
          <w:highlight w:val="none"/>
        </w:rPr>
      </w:pPr>
      <w:bookmarkStart w:id="548" w:name="_Toc73364902"/>
      <w:bookmarkStart w:id="549" w:name="_Toc20715"/>
      <w:bookmarkStart w:id="550" w:name="_Toc73365515"/>
      <w:r>
        <w:rPr>
          <w:rFonts w:hint="eastAsia" w:ascii="宋体" w:hAnsi="宋体" w:eastAsia="宋体"/>
          <w:color w:val="auto"/>
          <w:sz w:val="32"/>
          <w:highlight w:val="none"/>
        </w:rPr>
        <w:t>2．磋商及评审程序</w:t>
      </w:r>
      <w:bookmarkEnd w:id="548"/>
      <w:bookmarkEnd w:id="549"/>
      <w:bookmarkEnd w:id="550"/>
    </w:p>
    <w:p w14:paraId="61D7F641">
      <w:pPr>
        <w:spacing w:line="360" w:lineRule="auto"/>
        <w:ind w:firstLine="424"/>
        <w:rPr>
          <w:rFonts w:ascii="宋体" w:hAnsi="宋体"/>
          <w:color w:val="auto"/>
          <w:sz w:val="24"/>
          <w:highlight w:val="none"/>
        </w:rPr>
      </w:pPr>
      <w:r>
        <w:rPr>
          <w:rFonts w:hint="eastAsia" w:ascii="宋体" w:hAnsi="宋体"/>
          <w:color w:val="auto"/>
          <w:sz w:val="24"/>
          <w:highlight w:val="none"/>
        </w:rPr>
        <w:t>2.1磋商组织方按磋商小组名单核对身份并签到。</w:t>
      </w:r>
    </w:p>
    <w:p w14:paraId="76C52005">
      <w:pPr>
        <w:spacing w:line="360" w:lineRule="auto"/>
        <w:ind w:firstLine="424"/>
        <w:rPr>
          <w:rFonts w:ascii="宋体" w:hAnsi="宋体"/>
          <w:color w:val="auto"/>
          <w:sz w:val="24"/>
          <w:highlight w:val="none"/>
        </w:rPr>
      </w:pPr>
      <w:r>
        <w:rPr>
          <w:rFonts w:hint="eastAsia" w:ascii="宋体" w:hAnsi="宋体"/>
          <w:color w:val="auto"/>
          <w:sz w:val="24"/>
          <w:highlight w:val="none"/>
        </w:rPr>
        <w:t>2.2磋商组织方宣布磋商及评审纪律，磋商小组确认有无回避的情形。</w:t>
      </w:r>
    </w:p>
    <w:p w14:paraId="2FA9E69B">
      <w:pPr>
        <w:spacing w:line="360" w:lineRule="auto"/>
        <w:ind w:firstLine="424"/>
        <w:rPr>
          <w:rFonts w:ascii="宋体" w:hAnsi="宋体"/>
          <w:color w:val="auto"/>
          <w:sz w:val="24"/>
          <w:highlight w:val="none"/>
        </w:rPr>
      </w:pPr>
      <w:r>
        <w:rPr>
          <w:rFonts w:hint="eastAsia" w:ascii="宋体" w:hAnsi="宋体"/>
          <w:color w:val="auto"/>
          <w:sz w:val="24"/>
          <w:highlight w:val="none"/>
        </w:rPr>
        <w:t>2.3磋商小组推选组长，负责组织磋商及评审活动，采购人代表不得担任组长。</w:t>
      </w:r>
    </w:p>
    <w:p w14:paraId="419D89D0">
      <w:pPr>
        <w:spacing w:line="360" w:lineRule="auto"/>
        <w:ind w:firstLine="424"/>
        <w:rPr>
          <w:rFonts w:ascii="宋体" w:hAnsi="宋体"/>
          <w:color w:val="auto"/>
          <w:sz w:val="24"/>
          <w:highlight w:val="none"/>
        </w:rPr>
      </w:pPr>
      <w:r>
        <w:rPr>
          <w:rFonts w:hint="eastAsia" w:ascii="宋体" w:hAnsi="宋体"/>
          <w:color w:val="auto"/>
          <w:sz w:val="24"/>
          <w:highlight w:val="none"/>
        </w:rPr>
        <w:t>2.4磋商小组正式评审前，应当对磋商文件进行熟悉和理解，审查磋商文件。</w:t>
      </w:r>
    </w:p>
    <w:p w14:paraId="4BD7803A">
      <w:pPr>
        <w:spacing w:line="360" w:lineRule="auto"/>
        <w:ind w:firstLine="424"/>
        <w:rPr>
          <w:rFonts w:ascii="宋体" w:hAnsi="宋体"/>
          <w:color w:val="auto"/>
          <w:sz w:val="24"/>
          <w:highlight w:val="none"/>
        </w:rPr>
      </w:pPr>
      <w:r>
        <w:rPr>
          <w:rFonts w:hint="eastAsia" w:ascii="宋体" w:hAnsi="宋体"/>
          <w:color w:val="auto"/>
          <w:sz w:val="24"/>
          <w:highlight w:val="none"/>
        </w:rPr>
        <w:t>2.5磋商小组将对供应商进行资格审查，对首次响应文件进行有效性、完整性和响应程度审查。未通过审查的供应商不得参与磋商，磋商小组应书面告知供应商并说明理由。</w:t>
      </w:r>
    </w:p>
    <w:p w14:paraId="002F8C3E">
      <w:pPr>
        <w:spacing w:line="360" w:lineRule="auto"/>
        <w:ind w:firstLine="424"/>
        <w:rPr>
          <w:rFonts w:ascii="宋体" w:hAnsi="宋体"/>
          <w:color w:val="auto"/>
          <w:sz w:val="24"/>
          <w:highlight w:val="none"/>
        </w:rPr>
      </w:pPr>
      <w:r>
        <w:rPr>
          <w:rFonts w:hint="eastAsia" w:ascii="宋体" w:hAnsi="宋体"/>
          <w:color w:val="auto"/>
          <w:sz w:val="24"/>
          <w:highlight w:val="none"/>
        </w:rPr>
        <w:t>2.6</w:t>
      </w:r>
      <w:r>
        <w:rPr>
          <w:rFonts w:ascii="宋体" w:hAnsi="宋体"/>
          <w:color w:val="auto"/>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47E99AA0">
      <w:pPr>
        <w:spacing w:line="360" w:lineRule="auto"/>
        <w:ind w:firstLine="424"/>
        <w:rPr>
          <w:rFonts w:ascii="宋体" w:hAnsi="宋体"/>
          <w:color w:val="auto"/>
          <w:sz w:val="24"/>
          <w:highlight w:val="none"/>
        </w:rPr>
      </w:pPr>
      <w:r>
        <w:rPr>
          <w:rFonts w:hint="eastAsia" w:ascii="宋体" w:hAnsi="宋体"/>
          <w:color w:val="auto"/>
          <w:sz w:val="24"/>
          <w:highlight w:val="none"/>
        </w:rPr>
        <w:t>2.7磋商小组应集中与符合要求的单一供应商分别进行磋商，并给予所有参加磋商的供应商平等的磋商机会。</w:t>
      </w:r>
    </w:p>
    <w:p w14:paraId="7A8530BA">
      <w:pPr>
        <w:spacing w:line="360" w:lineRule="auto"/>
        <w:ind w:firstLine="424"/>
        <w:rPr>
          <w:rFonts w:ascii="宋体" w:hAnsi="宋体"/>
          <w:color w:val="auto"/>
          <w:sz w:val="24"/>
          <w:highlight w:val="none"/>
        </w:rPr>
      </w:pPr>
      <w:r>
        <w:rPr>
          <w:rFonts w:hint="eastAsia" w:ascii="宋体" w:hAnsi="宋体"/>
          <w:color w:val="auto"/>
          <w:sz w:val="24"/>
          <w:highlight w:val="none"/>
        </w:rPr>
        <w:t>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4060F45C">
      <w:pPr>
        <w:spacing w:line="360" w:lineRule="auto"/>
        <w:ind w:firstLine="424"/>
        <w:rPr>
          <w:rFonts w:ascii="宋体" w:hAnsi="宋体"/>
          <w:color w:val="auto"/>
          <w:highlight w:val="none"/>
        </w:rPr>
      </w:pPr>
      <w:r>
        <w:rPr>
          <w:rFonts w:hint="eastAsia" w:ascii="宋体" w:hAnsi="宋体"/>
          <w:color w:val="auto"/>
          <w:sz w:val="24"/>
          <w:highlight w:val="none"/>
        </w:rPr>
        <w:t>2.9磋商文件能够详细列明采购标的的技术、服务要求的，磋商结束后，磋商小组应要求所有实质性响应的供应商在规定时间内提交最后报价。</w:t>
      </w:r>
    </w:p>
    <w:p w14:paraId="46975CAE">
      <w:pPr>
        <w:spacing w:line="360" w:lineRule="auto"/>
        <w:ind w:firstLine="424"/>
        <w:rPr>
          <w:rFonts w:ascii="宋体" w:hAnsi="宋体"/>
          <w:color w:val="auto"/>
          <w:sz w:val="24"/>
          <w:highlight w:val="none"/>
        </w:rPr>
      </w:pPr>
      <w:r>
        <w:rPr>
          <w:rFonts w:hint="eastAsia" w:ascii="宋体" w:hAnsi="宋体"/>
          <w:color w:val="auto"/>
          <w:sz w:val="24"/>
          <w:highlight w:val="none"/>
        </w:rPr>
        <w:t>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1831FDF4">
      <w:pPr>
        <w:spacing w:line="360" w:lineRule="auto"/>
        <w:ind w:firstLine="424"/>
        <w:rPr>
          <w:rFonts w:ascii="宋体" w:hAnsi="宋体"/>
          <w:color w:val="auto"/>
          <w:sz w:val="24"/>
          <w:highlight w:val="none"/>
        </w:rPr>
      </w:pPr>
      <w:r>
        <w:rPr>
          <w:rFonts w:hint="eastAsia" w:ascii="宋体" w:hAnsi="宋体"/>
          <w:color w:val="auto"/>
          <w:sz w:val="24"/>
          <w:highlight w:val="none"/>
        </w:rPr>
        <w:t>符合磋商</w:t>
      </w:r>
      <w:r>
        <w:rPr>
          <w:rFonts w:ascii="宋体" w:hAnsi="宋体"/>
          <w:color w:val="auto"/>
          <w:sz w:val="24"/>
          <w:highlight w:val="none"/>
        </w:rPr>
        <w:t>文件供应商须知</w:t>
      </w:r>
      <w:r>
        <w:rPr>
          <w:rFonts w:hint="eastAsia" w:ascii="宋体" w:hAnsi="宋体"/>
          <w:color w:val="auto"/>
          <w:sz w:val="24"/>
          <w:highlight w:val="none"/>
        </w:rPr>
        <w:t>规定情形的，提交最后报价的供应商可以为</w:t>
      </w:r>
      <w:r>
        <w:rPr>
          <w:rFonts w:ascii="宋体" w:hAnsi="宋体"/>
          <w:color w:val="auto"/>
          <w:sz w:val="24"/>
          <w:highlight w:val="none"/>
        </w:rPr>
        <w:t>2</w:t>
      </w:r>
      <w:r>
        <w:rPr>
          <w:rFonts w:hint="eastAsia" w:ascii="宋体" w:hAnsi="宋体"/>
          <w:color w:val="auto"/>
          <w:sz w:val="24"/>
          <w:highlight w:val="none"/>
        </w:rPr>
        <w:t>家。</w:t>
      </w:r>
    </w:p>
    <w:p w14:paraId="5DD5D638">
      <w:pPr>
        <w:widowControl/>
        <w:spacing w:line="360" w:lineRule="auto"/>
        <w:ind w:firstLine="424"/>
        <w:jc w:val="left"/>
        <w:rPr>
          <w:rFonts w:ascii="宋体" w:hAnsi="宋体"/>
          <w:color w:val="auto"/>
          <w:sz w:val="24"/>
          <w:highlight w:val="none"/>
        </w:rPr>
      </w:pPr>
      <w:r>
        <w:rPr>
          <w:rFonts w:hint="eastAsia" w:ascii="宋体" w:hAnsi="宋体"/>
          <w:color w:val="auto"/>
          <w:sz w:val="24"/>
          <w:highlight w:val="none"/>
        </w:rPr>
        <w:t>2.10经磋商确定最终采购需求和提交最后报价的供应商后，磋商小组应对提交最后报价的供应商的响应文件和最后报价进行评审。</w:t>
      </w:r>
    </w:p>
    <w:p w14:paraId="6C2CF575">
      <w:pPr>
        <w:spacing w:line="360" w:lineRule="auto"/>
        <w:ind w:firstLine="424"/>
        <w:rPr>
          <w:rFonts w:ascii="宋体" w:hAnsi="宋体"/>
          <w:color w:val="auto"/>
          <w:sz w:val="24"/>
          <w:highlight w:val="none"/>
        </w:rPr>
      </w:pPr>
      <w:r>
        <w:rPr>
          <w:rFonts w:hint="eastAsia" w:ascii="宋体" w:hAnsi="宋体"/>
          <w:color w:val="auto"/>
          <w:sz w:val="24"/>
          <w:highlight w:val="none"/>
        </w:rPr>
        <w:t>2.11磋商小组对磋商供应商得分按照从高到低进行排序，得分相同的磋商供应商，报价低者排名在前，评审得分且最后报价相同的，按技术指标优劣顺序排列。</w:t>
      </w:r>
    </w:p>
    <w:p w14:paraId="7BA1111B">
      <w:pPr>
        <w:spacing w:line="360" w:lineRule="auto"/>
        <w:ind w:firstLine="424"/>
        <w:rPr>
          <w:rFonts w:ascii="宋体" w:hAnsi="宋体"/>
          <w:color w:val="auto"/>
          <w:sz w:val="24"/>
          <w:highlight w:val="none"/>
        </w:rPr>
      </w:pPr>
      <w:r>
        <w:rPr>
          <w:rFonts w:hint="eastAsia" w:ascii="宋体" w:hAnsi="宋体"/>
          <w:color w:val="auto"/>
          <w:sz w:val="24"/>
          <w:highlight w:val="none"/>
        </w:rPr>
        <w:t>2.12推荐成交候选供应商，并出具书面评审报告。</w:t>
      </w:r>
    </w:p>
    <w:p w14:paraId="6F2C320B">
      <w:pPr>
        <w:pStyle w:val="189"/>
        <w:spacing w:line="400" w:lineRule="exact"/>
        <w:ind w:firstLine="321"/>
        <w:jc w:val="left"/>
        <w:rPr>
          <w:color w:val="auto"/>
          <w:highlight w:val="none"/>
        </w:rPr>
      </w:pPr>
      <w:bookmarkStart w:id="551" w:name="_Toc73365516"/>
      <w:bookmarkStart w:id="552" w:name="_Toc17275"/>
      <w:bookmarkStart w:id="553" w:name="_Toc73364903"/>
      <w:r>
        <w:rPr>
          <w:rFonts w:hint="eastAsia" w:ascii="宋体" w:hAnsi="宋体" w:eastAsia="宋体"/>
          <w:color w:val="auto"/>
          <w:sz w:val="32"/>
          <w:highlight w:val="none"/>
        </w:rPr>
        <w:t>3．供应商资格审查</w:t>
      </w:r>
      <w:bookmarkEnd w:id="551"/>
      <w:bookmarkEnd w:id="552"/>
      <w:bookmarkEnd w:id="553"/>
    </w:p>
    <w:p w14:paraId="255D151A">
      <w:pPr>
        <w:spacing w:line="360" w:lineRule="auto"/>
        <w:ind w:firstLine="480"/>
        <w:rPr>
          <w:color w:val="auto"/>
          <w:highlight w:val="none"/>
        </w:rPr>
      </w:pPr>
      <w:bookmarkStart w:id="554" w:name="EBca25f1f2e9864ca3b0b8f62aaa9a4dc1"/>
      <w:r>
        <w:rPr>
          <w:rFonts w:hint="eastAsia" w:ascii="宋体" w:hAnsi="宋体"/>
          <w:color w:val="auto"/>
          <w:sz w:val="24"/>
          <w:szCs w:val="28"/>
          <w:highlight w:val="none"/>
        </w:rPr>
        <w:t>☑</w:t>
      </w:r>
      <w:bookmarkEnd w:id="554"/>
      <w:bookmarkStart w:id="555" w:name="EB681b9d9dbd034aaca383871dc8abcc3d"/>
      <w:r>
        <w:rPr>
          <w:rFonts w:hint="eastAsia" w:ascii="宋体" w:hAnsi="宋体"/>
          <w:color w:val="auto"/>
          <w:sz w:val="24"/>
          <w:szCs w:val="28"/>
          <w:highlight w:val="none"/>
        </w:rPr>
        <w:t>发布公告</w:t>
      </w:r>
      <w:bookmarkEnd w:id="555"/>
      <w:r>
        <w:rPr>
          <w:rFonts w:hint="eastAsia" w:ascii="宋体" w:hAnsi="宋体"/>
          <w:color w:val="auto"/>
          <w:sz w:val="24"/>
          <w:szCs w:val="28"/>
          <w:highlight w:val="none"/>
        </w:rPr>
        <w:t xml:space="preserve">  </w:t>
      </w:r>
    </w:p>
    <w:p w14:paraId="25172B92">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开启结束后，磋商小组将依法对供应商的资格进行审查。资格审查的内容如下：</w:t>
      </w:r>
    </w:p>
    <w:p w14:paraId="0A8AA5AC">
      <w:pPr>
        <w:rPr>
          <w:rFonts w:hint="eastAsia"/>
          <w:color w:val="auto"/>
          <w:sz w:val="20"/>
          <w:highlight w:val="none"/>
        </w:rPr>
      </w:pPr>
      <w:bookmarkStart w:id="556" w:name="EB26dcd70bebb54979b7a4b621de125d2f"/>
    </w:p>
    <w:tbl>
      <w:tblPr>
        <w:tblStyle w:val="32"/>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764"/>
        <w:gridCol w:w="2728"/>
        <w:gridCol w:w="6362"/>
      </w:tblGrid>
      <w:tr w14:paraId="71873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4" w:type="dxa"/>
            <w:noWrap w:val="0"/>
            <w:tcMar>
              <w:top w:w="100" w:type="dxa"/>
              <w:bottom w:w="100" w:type="dxa"/>
            </w:tcMar>
            <w:vAlign w:val="center"/>
          </w:tcPr>
          <w:p w14:paraId="45B0FE01">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序号</w:t>
            </w:r>
          </w:p>
        </w:tc>
        <w:tc>
          <w:tcPr>
            <w:tcW w:w="2728" w:type="dxa"/>
            <w:noWrap w:val="0"/>
            <w:tcMar>
              <w:top w:w="100" w:type="dxa"/>
              <w:bottom w:w="100" w:type="dxa"/>
            </w:tcMar>
            <w:vAlign w:val="center"/>
          </w:tcPr>
          <w:p w14:paraId="13277023">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审查要素</w:t>
            </w:r>
          </w:p>
        </w:tc>
        <w:tc>
          <w:tcPr>
            <w:tcW w:w="6363" w:type="dxa"/>
            <w:noWrap w:val="0"/>
            <w:tcMar>
              <w:top w:w="100" w:type="dxa"/>
              <w:bottom w:w="100" w:type="dxa"/>
            </w:tcMar>
            <w:vAlign w:val="center"/>
          </w:tcPr>
          <w:p w14:paraId="4E107886">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审查内容</w:t>
            </w:r>
          </w:p>
        </w:tc>
      </w:tr>
      <w:tr w14:paraId="74525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4" w:type="dxa"/>
            <w:noWrap w:val="0"/>
            <w:tcMar>
              <w:top w:w="100" w:type="dxa"/>
              <w:bottom w:w="100" w:type="dxa"/>
            </w:tcMar>
            <w:vAlign w:val="center"/>
          </w:tcPr>
          <w:p w14:paraId="79DD8D1D">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1</w:t>
            </w:r>
          </w:p>
        </w:tc>
        <w:tc>
          <w:tcPr>
            <w:tcW w:w="2728" w:type="dxa"/>
            <w:noWrap w:val="0"/>
            <w:tcMar>
              <w:top w:w="100" w:type="dxa"/>
              <w:bottom w:w="100" w:type="dxa"/>
            </w:tcMar>
            <w:vAlign w:val="center"/>
          </w:tcPr>
          <w:p w14:paraId="0053D3DF">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具有独立承担民事责任的能力</w:t>
            </w:r>
          </w:p>
        </w:tc>
        <w:tc>
          <w:tcPr>
            <w:tcW w:w="6363" w:type="dxa"/>
            <w:noWrap w:val="0"/>
            <w:tcMar>
              <w:top w:w="100" w:type="dxa"/>
              <w:bottom w:w="100" w:type="dxa"/>
            </w:tcMar>
            <w:vAlign w:val="center"/>
          </w:tcPr>
          <w:p w14:paraId="7410A831">
            <w:pPr>
              <w:pStyle w:val="254"/>
              <w:keepNext w:val="0"/>
              <w:keepLines w:val="0"/>
              <w:pageBreakBefore w:val="0"/>
              <w:widowControl/>
              <w:ind w:left="53" w:right="0"/>
              <w:jc w:val="left"/>
              <w:rPr>
                <w:rStyle w:val="192"/>
                <w:rFonts w:hint="eastAsia"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提供法人或者其他组织的营业执照等证明文件；供应商为自然人的，提供其身份证</w:t>
            </w:r>
            <w:r>
              <w:rPr>
                <w:rFonts w:hint="eastAsia" w:ascii="宋体" w:hAnsi="宋体" w:eastAsia="宋体" w:cs="宋体"/>
                <w:color w:val="auto"/>
                <w:sz w:val="21"/>
                <w:highlight w:val="none"/>
              </w:rPr>
              <w:t>（原件扫描件）</w:t>
            </w:r>
            <w:r>
              <w:rPr>
                <w:rStyle w:val="192"/>
                <w:rFonts w:hint="eastAsia" w:ascii="宋体" w:hAnsi="宋体" w:eastAsia="宋体" w:cs="宋体"/>
                <w:b w:val="0"/>
                <w:color w:val="auto"/>
                <w:sz w:val="21"/>
                <w:szCs w:val="24"/>
                <w:highlight w:val="none"/>
                <w:lang w:eastAsia="zh-CN"/>
              </w:rPr>
              <w:t>。</w:t>
            </w:r>
          </w:p>
        </w:tc>
      </w:tr>
      <w:tr w14:paraId="69FF8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871" w:hRule="atLeast"/>
          <w:jc w:val="center"/>
        </w:trPr>
        <w:tc>
          <w:tcPr>
            <w:tcW w:w="764" w:type="dxa"/>
            <w:noWrap w:val="0"/>
            <w:tcMar>
              <w:top w:w="100" w:type="dxa"/>
              <w:bottom w:w="100" w:type="dxa"/>
            </w:tcMar>
            <w:vAlign w:val="center"/>
          </w:tcPr>
          <w:p w14:paraId="4A9211B6">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2</w:t>
            </w:r>
          </w:p>
        </w:tc>
        <w:tc>
          <w:tcPr>
            <w:tcW w:w="2728" w:type="dxa"/>
            <w:noWrap w:val="0"/>
            <w:tcMar>
              <w:top w:w="100" w:type="dxa"/>
              <w:bottom w:w="100" w:type="dxa"/>
            </w:tcMar>
            <w:vAlign w:val="center"/>
          </w:tcPr>
          <w:p w14:paraId="0CCDF22E">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具有良好的商业信誉和健全的财务会计制度</w:t>
            </w:r>
          </w:p>
        </w:tc>
        <w:tc>
          <w:tcPr>
            <w:tcW w:w="6363" w:type="dxa"/>
            <w:noWrap w:val="0"/>
            <w:tcMar>
              <w:top w:w="100" w:type="dxa"/>
              <w:bottom w:w="100" w:type="dxa"/>
            </w:tcMar>
            <w:vAlign w:val="center"/>
          </w:tcPr>
          <w:p w14:paraId="15BBA15A">
            <w:pPr>
              <w:pStyle w:val="254"/>
              <w:keepNext w:val="0"/>
              <w:keepLines w:val="0"/>
              <w:pageBreakBefore w:val="0"/>
              <w:widowControl/>
              <w:ind w:left="53" w:right="0"/>
              <w:jc w:val="left"/>
              <w:rPr>
                <w:rStyle w:val="192"/>
                <w:rFonts w:hint="eastAsia" w:ascii="宋体" w:hAnsi="宋体" w:eastAsia="宋体" w:cs="宋体"/>
                <w:b w:val="0"/>
                <w:color w:val="auto"/>
                <w:sz w:val="21"/>
                <w:szCs w:val="24"/>
                <w:highlight w:val="none"/>
              </w:rPr>
            </w:pPr>
            <w:r>
              <w:rPr>
                <w:rStyle w:val="192"/>
                <w:rFonts w:hint="eastAsia" w:ascii="宋体" w:hAnsi="宋体" w:eastAsia="宋体" w:cs="宋体"/>
                <w:b w:val="0"/>
                <w:color w:val="auto"/>
                <w:sz w:val="21"/>
                <w:szCs w:val="24"/>
                <w:highlight w:val="none"/>
                <w:lang w:eastAsia="zh-CN"/>
              </w:rPr>
              <w:t>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auto"/>
                <w:sz w:val="21"/>
                <w:highlight w:val="none"/>
              </w:rPr>
              <w:t>（原件扫描件）</w:t>
            </w:r>
            <w:r>
              <w:rPr>
                <w:rStyle w:val="192"/>
                <w:rFonts w:hint="eastAsia" w:ascii="宋体" w:hAnsi="宋体" w:eastAsia="宋体" w:cs="宋体"/>
                <w:b w:val="0"/>
                <w:color w:val="auto"/>
                <w:sz w:val="21"/>
                <w:szCs w:val="24"/>
                <w:highlight w:val="none"/>
                <w:lang w:eastAsia="zh-CN"/>
              </w:rPr>
              <w:t>；或按采购文件要求提供资格承诺函。</w:t>
            </w:r>
          </w:p>
        </w:tc>
      </w:tr>
      <w:tr w14:paraId="2057C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4" w:type="dxa"/>
            <w:noWrap w:val="0"/>
            <w:tcMar>
              <w:top w:w="100" w:type="dxa"/>
              <w:bottom w:w="100" w:type="dxa"/>
            </w:tcMar>
            <w:vAlign w:val="center"/>
          </w:tcPr>
          <w:p w14:paraId="499C0960">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3</w:t>
            </w:r>
          </w:p>
        </w:tc>
        <w:tc>
          <w:tcPr>
            <w:tcW w:w="2728" w:type="dxa"/>
            <w:noWrap w:val="0"/>
            <w:tcMar>
              <w:top w:w="100" w:type="dxa"/>
              <w:bottom w:w="100" w:type="dxa"/>
            </w:tcMar>
            <w:vAlign w:val="center"/>
          </w:tcPr>
          <w:p w14:paraId="4ED94CEF">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具有履行合同所必需的设备和专业技术能力</w:t>
            </w:r>
          </w:p>
        </w:tc>
        <w:tc>
          <w:tcPr>
            <w:tcW w:w="6363" w:type="dxa"/>
            <w:noWrap w:val="0"/>
            <w:tcMar>
              <w:top w:w="100" w:type="dxa"/>
              <w:bottom w:w="100" w:type="dxa"/>
            </w:tcMar>
            <w:vAlign w:val="center"/>
          </w:tcPr>
          <w:p w14:paraId="32437292">
            <w:pPr>
              <w:pStyle w:val="254"/>
              <w:keepNext w:val="0"/>
              <w:keepLines w:val="0"/>
              <w:pageBreakBefore w:val="0"/>
              <w:widowControl/>
              <w:ind w:left="53" w:right="0"/>
              <w:jc w:val="left"/>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见履行合同所必需的设备和专业技术能力表</w:t>
            </w:r>
            <w:r>
              <w:rPr>
                <w:rStyle w:val="192"/>
                <w:rFonts w:hint="eastAsia" w:ascii="宋体" w:hAnsi="宋体" w:eastAsia="宋体" w:cs="宋体"/>
                <w:b w:val="0"/>
                <w:color w:val="auto"/>
                <w:sz w:val="21"/>
                <w:szCs w:val="24"/>
                <w:highlight w:val="none"/>
                <w:lang w:eastAsia="zh-CN"/>
              </w:rPr>
              <w:t>；或按采购文件要求提供资格承诺函。</w:t>
            </w:r>
          </w:p>
        </w:tc>
      </w:tr>
      <w:tr w14:paraId="3B0C7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4" w:type="dxa"/>
            <w:noWrap w:val="0"/>
            <w:tcMar>
              <w:top w:w="100" w:type="dxa"/>
              <w:bottom w:w="100" w:type="dxa"/>
            </w:tcMar>
            <w:vAlign w:val="center"/>
          </w:tcPr>
          <w:p w14:paraId="0EC5819A">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4</w:t>
            </w:r>
          </w:p>
        </w:tc>
        <w:tc>
          <w:tcPr>
            <w:tcW w:w="2728" w:type="dxa"/>
            <w:noWrap w:val="0"/>
            <w:tcMar>
              <w:top w:w="100" w:type="dxa"/>
              <w:bottom w:w="100" w:type="dxa"/>
            </w:tcMar>
            <w:vAlign w:val="center"/>
          </w:tcPr>
          <w:p w14:paraId="77F1610F">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有依法缴纳税收和社会保障资金的良好记录</w:t>
            </w:r>
          </w:p>
        </w:tc>
        <w:tc>
          <w:tcPr>
            <w:tcW w:w="6363" w:type="dxa"/>
            <w:noWrap w:val="0"/>
            <w:tcMar>
              <w:top w:w="100" w:type="dxa"/>
              <w:bottom w:w="100" w:type="dxa"/>
            </w:tcMar>
            <w:vAlign w:val="center"/>
          </w:tcPr>
          <w:p w14:paraId="32533DBA">
            <w:pPr>
              <w:pStyle w:val="254"/>
              <w:keepNext w:val="0"/>
              <w:keepLines w:val="0"/>
              <w:pageBreakBefore w:val="0"/>
              <w:widowControl/>
              <w:ind w:left="53" w:right="0"/>
              <w:jc w:val="left"/>
              <w:rPr>
                <w:rStyle w:val="192"/>
                <w:rFonts w:hint="eastAsia"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提供参加本次政府采购活动前一年内</w:t>
            </w:r>
            <w:r>
              <w:rPr>
                <w:rStyle w:val="192"/>
                <w:rFonts w:hint="eastAsia" w:ascii="宋体" w:hAnsi="宋体" w:eastAsia="宋体" w:cs="宋体"/>
                <w:b w:val="0"/>
                <w:color w:val="auto"/>
                <w:sz w:val="21"/>
                <w:szCs w:val="24"/>
                <w:highlight w:val="none"/>
                <w:lang w:eastAsia="zh-CN"/>
              </w:rPr>
              <w:t>至少一个月依法缴纳税收和社会保险的凭据（原件扫描件）；或按采购文件要求提供资格承诺函。</w:t>
            </w:r>
          </w:p>
        </w:tc>
      </w:tr>
      <w:tr w14:paraId="18ADA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4" w:type="dxa"/>
            <w:noWrap w:val="0"/>
            <w:tcMar>
              <w:top w:w="100" w:type="dxa"/>
              <w:bottom w:w="100" w:type="dxa"/>
            </w:tcMar>
            <w:vAlign w:val="center"/>
          </w:tcPr>
          <w:p w14:paraId="218DE29A">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5</w:t>
            </w:r>
          </w:p>
        </w:tc>
        <w:tc>
          <w:tcPr>
            <w:tcW w:w="2728" w:type="dxa"/>
            <w:noWrap w:val="0"/>
            <w:tcMar>
              <w:top w:w="100" w:type="dxa"/>
              <w:bottom w:w="100" w:type="dxa"/>
            </w:tcMar>
            <w:vAlign w:val="center"/>
          </w:tcPr>
          <w:p w14:paraId="32F2295A">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参加政府采购活动前三年内，在经营活动中没有重大违法记录</w:t>
            </w:r>
          </w:p>
        </w:tc>
        <w:tc>
          <w:tcPr>
            <w:tcW w:w="6363" w:type="dxa"/>
            <w:noWrap w:val="0"/>
            <w:tcMar>
              <w:top w:w="100" w:type="dxa"/>
              <w:bottom w:w="100" w:type="dxa"/>
            </w:tcMar>
            <w:vAlign w:val="center"/>
          </w:tcPr>
          <w:p w14:paraId="1A090427">
            <w:pPr>
              <w:pStyle w:val="254"/>
              <w:keepNext w:val="0"/>
              <w:keepLines w:val="0"/>
              <w:pageBreakBefore w:val="0"/>
              <w:widowControl/>
              <w:ind w:left="53" w:right="0"/>
              <w:jc w:val="left"/>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磋商承诺函</w:t>
            </w:r>
            <w:r>
              <w:rPr>
                <w:rStyle w:val="192"/>
                <w:rFonts w:hint="eastAsia" w:ascii="宋体" w:hAnsi="宋体" w:eastAsia="宋体" w:cs="宋体"/>
                <w:b w:val="0"/>
                <w:color w:val="auto"/>
                <w:sz w:val="21"/>
                <w:szCs w:val="24"/>
                <w:highlight w:val="none"/>
                <w:lang w:eastAsia="zh-CN"/>
              </w:rPr>
              <w:t>；或按采购文件要求提供资格承诺函。</w:t>
            </w:r>
          </w:p>
        </w:tc>
      </w:tr>
      <w:tr w14:paraId="6E673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305" w:hRule="atLeast"/>
          <w:jc w:val="center"/>
        </w:trPr>
        <w:tc>
          <w:tcPr>
            <w:tcW w:w="764" w:type="dxa"/>
            <w:noWrap w:val="0"/>
            <w:tcMar>
              <w:top w:w="100" w:type="dxa"/>
              <w:bottom w:w="100" w:type="dxa"/>
            </w:tcMar>
            <w:vAlign w:val="center"/>
          </w:tcPr>
          <w:p w14:paraId="1CA85084">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6</w:t>
            </w:r>
          </w:p>
        </w:tc>
        <w:tc>
          <w:tcPr>
            <w:tcW w:w="2728" w:type="dxa"/>
            <w:noWrap w:val="0"/>
            <w:tcMar>
              <w:top w:w="100" w:type="dxa"/>
              <w:bottom w:w="100" w:type="dxa"/>
            </w:tcMar>
            <w:vAlign w:val="center"/>
          </w:tcPr>
          <w:p w14:paraId="5A5EED8D">
            <w:pPr>
              <w:pStyle w:val="254"/>
              <w:jc w:val="center"/>
              <w:rPr>
                <w:rStyle w:val="192"/>
                <w:rFonts w:hint="eastAsia" w:ascii="宋体" w:hAnsi="宋体" w:eastAsia="宋体" w:cs="宋体"/>
                <w:b w:val="0"/>
                <w:color w:val="auto"/>
                <w:sz w:val="21"/>
                <w:szCs w:val="24"/>
                <w:highlight w:val="none"/>
              </w:rPr>
            </w:pPr>
            <w:r>
              <w:rPr>
                <w:rStyle w:val="192"/>
                <w:rFonts w:hint="eastAsia" w:ascii="宋体" w:hAnsi="宋体" w:eastAsia="宋体" w:cs="宋体"/>
                <w:b w:val="0"/>
                <w:color w:val="auto"/>
                <w:sz w:val="21"/>
                <w:szCs w:val="24"/>
                <w:highlight w:val="none"/>
                <w:lang w:eastAsia="zh-CN"/>
              </w:rPr>
              <w:t>信用情况</w:t>
            </w:r>
          </w:p>
        </w:tc>
        <w:tc>
          <w:tcPr>
            <w:tcW w:w="6363" w:type="dxa"/>
            <w:noWrap w:val="0"/>
            <w:tcMar>
              <w:top w:w="100" w:type="dxa"/>
              <w:bottom w:w="100" w:type="dxa"/>
            </w:tcMar>
            <w:vAlign w:val="center"/>
          </w:tcPr>
          <w:p w14:paraId="78C86B18">
            <w:pPr>
              <w:pStyle w:val="254"/>
              <w:keepNext w:val="0"/>
              <w:keepLines w:val="0"/>
              <w:pageBreakBefore w:val="0"/>
              <w:widowControl/>
              <w:ind w:left="53" w:right="0"/>
              <w:jc w:val="left"/>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“信用中国”网站（www.creditchina.gov.cn）、中国政府采购网（www.ccgp.gov.cn）、“信用江苏”网站（http</w:t>
            </w:r>
            <w:r>
              <w:rPr>
                <w:rStyle w:val="192"/>
                <w:rFonts w:hint="eastAsia" w:ascii="宋体" w:hAnsi="宋体" w:eastAsia="宋体" w:cs="宋体"/>
                <w:b w:val="0"/>
                <w:color w:val="auto"/>
                <w:sz w:val="21"/>
                <w:szCs w:val="24"/>
                <w:highlight w:val="none"/>
                <w:lang w:eastAsia="zh-CN"/>
              </w:rPr>
              <w:t>：</w:t>
            </w:r>
            <w:r>
              <w:rPr>
                <w:rStyle w:val="192"/>
                <w:rFonts w:ascii="宋体" w:hAnsi="宋体" w:eastAsia="宋体" w:cs="宋体"/>
                <w:b w:val="0"/>
                <w:color w:val="auto"/>
                <w:sz w:val="21"/>
                <w:szCs w:val="24"/>
                <w:highlight w:val="none"/>
              </w:rPr>
              <w:t>//credit.jiangsu.gov.cn/）的查询结果未列入失信被执行人名单、重大税收违法案件当事人名单、政府采购严重违法失信行为名单,以现场查询为准。</w:t>
            </w:r>
          </w:p>
        </w:tc>
      </w:tr>
      <w:tr w14:paraId="4ADE0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390" w:hRule="atLeast"/>
          <w:jc w:val="center"/>
        </w:trPr>
        <w:tc>
          <w:tcPr>
            <w:tcW w:w="764" w:type="dxa"/>
            <w:noWrap w:val="0"/>
            <w:tcMar>
              <w:top w:w="100" w:type="dxa"/>
              <w:bottom w:w="100" w:type="dxa"/>
            </w:tcMar>
            <w:vAlign w:val="center"/>
          </w:tcPr>
          <w:p w14:paraId="1448814E">
            <w:pPr>
              <w:pStyle w:val="254"/>
              <w:jc w:val="center"/>
              <w:rPr>
                <w:rStyle w:val="192"/>
                <w:rFonts w:hint="eastAsia" w:ascii="宋体" w:hAnsi="宋体" w:eastAsia="宋体" w:cs="宋体"/>
                <w:b w:val="0"/>
                <w:color w:val="auto"/>
                <w:sz w:val="21"/>
                <w:szCs w:val="24"/>
                <w:highlight w:val="none"/>
              </w:rPr>
            </w:pPr>
            <w:r>
              <w:rPr>
                <w:rStyle w:val="192"/>
                <w:rFonts w:hint="eastAsia" w:ascii="宋体" w:hAnsi="宋体" w:eastAsia="宋体" w:cs="宋体"/>
                <w:b w:val="0"/>
                <w:color w:val="auto"/>
                <w:sz w:val="21"/>
                <w:szCs w:val="24"/>
                <w:highlight w:val="none"/>
                <w:lang w:val="en-US" w:eastAsia="zh-CN"/>
              </w:rPr>
              <w:t>7</w:t>
            </w:r>
          </w:p>
        </w:tc>
        <w:tc>
          <w:tcPr>
            <w:tcW w:w="2728" w:type="dxa"/>
            <w:noWrap w:val="0"/>
            <w:tcMar>
              <w:top w:w="100" w:type="dxa"/>
              <w:bottom w:w="100" w:type="dxa"/>
            </w:tcMar>
            <w:vAlign w:val="center"/>
          </w:tcPr>
          <w:p w14:paraId="0798B199">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落实政府采购政策需满足的资格要求</w:t>
            </w:r>
          </w:p>
        </w:tc>
        <w:tc>
          <w:tcPr>
            <w:tcW w:w="6363" w:type="dxa"/>
            <w:noWrap w:val="0"/>
            <w:tcMar>
              <w:top w:w="100" w:type="dxa"/>
              <w:bottom w:w="100" w:type="dxa"/>
            </w:tcMar>
            <w:vAlign w:val="center"/>
          </w:tcPr>
          <w:p w14:paraId="564D222A">
            <w:pPr>
              <w:pStyle w:val="254"/>
              <w:keepNext w:val="0"/>
              <w:keepLines w:val="0"/>
              <w:pageBreakBefore w:val="0"/>
              <w:widowControl/>
              <w:ind w:left="53" w:right="0"/>
              <w:jc w:val="left"/>
              <w:rPr>
                <w:rStyle w:val="192"/>
                <w:rFonts w:hint="eastAsia"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提供中小企业声明函</w:t>
            </w:r>
            <w:r>
              <w:rPr>
                <w:rStyle w:val="192"/>
                <w:rFonts w:hint="eastAsia" w:ascii="宋体" w:hAnsi="宋体" w:eastAsia="宋体" w:cs="宋体"/>
                <w:b w:val="0"/>
                <w:color w:val="auto"/>
                <w:sz w:val="21"/>
                <w:szCs w:val="24"/>
                <w:highlight w:val="none"/>
                <w:lang w:eastAsia="zh-CN"/>
              </w:rPr>
              <w:t>原件</w:t>
            </w:r>
          </w:p>
        </w:tc>
      </w:tr>
      <w:tr w14:paraId="28C6C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687" w:hRule="atLeast"/>
          <w:jc w:val="center"/>
        </w:trPr>
        <w:tc>
          <w:tcPr>
            <w:tcW w:w="764" w:type="dxa"/>
            <w:noWrap w:val="0"/>
            <w:tcMar>
              <w:top w:w="100" w:type="dxa"/>
              <w:bottom w:w="100" w:type="dxa"/>
            </w:tcMar>
            <w:vAlign w:val="center"/>
          </w:tcPr>
          <w:p w14:paraId="4992D8F9">
            <w:pPr>
              <w:pStyle w:val="254"/>
              <w:jc w:val="center"/>
              <w:rPr>
                <w:rStyle w:val="192"/>
                <w:rFonts w:hint="eastAsia" w:ascii="宋体" w:hAnsi="宋体" w:eastAsia="宋体" w:cs="宋体"/>
                <w:b w:val="0"/>
                <w:color w:val="auto"/>
                <w:sz w:val="21"/>
                <w:szCs w:val="24"/>
                <w:highlight w:val="none"/>
              </w:rPr>
            </w:pPr>
            <w:r>
              <w:rPr>
                <w:rStyle w:val="192"/>
                <w:rFonts w:hint="eastAsia" w:ascii="宋体" w:hAnsi="宋体" w:eastAsia="宋体" w:cs="宋体"/>
                <w:b w:val="0"/>
                <w:color w:val="auto"/>
                <w:sz w:val="21"/>
                <w:szCs w:val="24"/>
                <w:highlight w:val="none"/>
                <w:lang w:val="en-US" w:eastAsia="zh-CN"/>
              </w:rPr>
              <w:t>8</w:t>
            </w:r>
          </w:p>
        </w:tc>
        <w:tc>
          <w:tcPr>
            <w:tcW w:w="2728" w:type="dxa"/>
            <w:noWrap w:val="0"/>
            <w:tcMar>
              <w:top w:w="100" w:type="dxa"/>
              <w:bottom w:w="100" w:type="dxa"/>
            </w:tcMar>
            <w:vAlign w:val="center"/>
          </w:tcPr>
          <w:p w14:paraId="0870CA3F">
            <w:pPr>
              <w:pStyle w:val="254"/>
              <w:jc w:val="center"/>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本项目的特定资格要求</w:t>
            </w:r>
          </w:p>
        </w:tc>
        <w:tc>
          <w:tcPr>
            <w:tcW w:w="6363" w:type="dxa"/>
            <w:noWrap w:val="0"/>
            <w:tcMar>
              <w:top w:w="100" w:type="dxa"/>
              <w:bottom w:w="100" w:type="dxa"/>
            </w:tcMar>
            <w:vAlign w:val="center"/>
          </w:tcPr>
          <w:p w14:paraId="030C180F">
            <w:pPr>
              <w:pStyle w:val="254"/>
              <w:keepNext w:val="0"/>
              <w:keepLines w:val="0"/>
              <w:pageBreakBefore w:val="0"/>
              <w:widowControl/>
              <w:ind w:left="53" w:right="0"/>
              <w:jc w:val="left"/>
              <w:rPr>
                <w:rStyle w:val="192"/>
                <w:rFonts w:hint="eastAsia"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（1）提供企业有效的资质证书（原件扫描件）</w:t>
            </w:r>
          </w:p>
          <w:p w14:paraId="431C08B8">
            <w:pPr>
              <w:pStyle w:val="254"/>
              <w:keepNext w:val="0"/>
              <w:keepLines w:val="0"/>
              <w:pageBreakBefore w:val="0"/>
              <w:widowControl/>
              <w:ind w:left="53" w:right="0"/>
              <w:jc w:val="left"/>
              <w:rPr>
                <w:rStyle w:val="192"/>
                <w:rFonts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（2）提供企业有效的安全生产许可证（原件扫描件）</w:t>
            </w:r>
          </w:p>
          <w:p w14:paraId="04BBC3A7">
            <w:pPr>
              <w:pStyle w:val="254"/>
              <w:keepNext w:val="0"/>
              <w:keepLines w:val="0"/>
              <w:pageBreakBefore w:val="0"/>
              <w:widowControl/>
              <w:ind w:left="53" w:right="0"/>
              <w:jc w:val="left"/>
              <w:rPr>
                <w:rStyle w:val="192"/>
                <w:rFonts w:hint="eastAsia"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（3）提供拟派项目负责人</w:t>
            </w:r>
            <w:r>
              <w:rPr>
                <w:rStyle w:val="192"/>
                <w:rFonts w:hint="eastAsia" w:ascii="宋体" w:hAnsi="宋体" w:eastAsia="宋体" w:cs="宋体"/>
                <w:b w:val="0"/>
                <w:color w:val="auto"/>
                <w:sz w:val="21"/>
                <w:szCs w:val="24"/>
                <w:highlight w:val="none"/>
                <w:lang w:eastAsia="zh-CN"/>
              </w:rPr>
              <w:t>有效的</w:t>
            </w:r>
            <w:r>
              <w:rPr>
                <w:rStyle w:val="192"/>
                <w:rFonts w:ascii="宋体" w:hAnsi="宋体" w:eastAsia="宋体" w:cs="宋体"/>
                <w:b w:val="0"/>
                <w:color w:val="auto"/>
                <w:sz w:val="21"/>
                <w:szCs w:val="24"/>
                <w:highlight w:val="none"/>
              </w:rPr>
              <w:t>建造师注册证书、提供项目负责人有效的安全生产考核合格证（B类证书）（原件扫描件）</w:t>
            </w:r>
          </w:p>
          <w:p w14:paraId="6044E75B">
            <w:pPr>
              <w:pStyle w:val="254"/>
              <w:keepNext w:val="0"/>
              <w:keepLines w:val="0"/>
              <w:pageBreakBefore w:val="0"/>
              <w:widowControl/>
              <w:ind w:left="53" w:right="0"/>
              <w:jc w:val="left"/>
              <w:rPr>
                <w:rStyle w:val="192"/>
                <w:rFonts w:hint="default" w:ascii="宋体" w:hAnsi="宋体" w:eastAsia="宋体" w:cs="宋体"/>
                <w:b w:val="0"/>
                <w:color w:val="auto"/>
                <w:sz w:val="21"/>
                <w:szCs w:val="24"/>
                <w:highlight w:val="none"/>
              </w:rPr>
            </w:pPr>
            <w:r>
              <w:rPr>
                <w:rStyle w:val="192"/>
                <w:rFonts w:ascii="宋体" w:hAnsi="宋体" w:eastAsia="宋体" w:cs="宋体"/>
                <w:b w:val="0"/>
                <w:color w:val="auto"/>
                <w:sz w:val="21"/>
                <w:szCs w:val="24"/>
                <w:highlight w:val="none"/>
              </w:rPr>
              <w:t>（4）投标人提供为项目负责人缴纳的</w:t>
            </w:r>
            <w:r>
              <w:rPr>
                <w:rStyle w:val="192"/>
                <w:rFonts w:hint="eastAsia" w:ascii="宋体" w:hAnsi="宋体" w:eastAsia="宋体" w:cs="宋体"/>
                <w:b w:val="0"/>
                <w:color w:val="auto"/>
                <w:sz w:val="21"/>
                <w:szCs w:val="24"/>
                <w:highlight w:val="none"/>
                <w:lang w:val="en-US" w:eastAsia="zh-CN"/>
              </w:rPr>
              <w:t>2026年4月</w:t>
            </w:r>
            <w:r>
              <w:rPr>
                <w:rStyle w:val="192"/>
                <w:rFonts w:ascii="宋体" w:hAnsi="宋体" w:eastAsia="宋体" w:cs="宋体"/>
                <w:b w:val="0"/>
                <w:color w:val="auto"/>
                <w:sz w:val="21"/>
                <w:szCs w:val="24"/>
                <w:highlight w:val="none"/>
              </w:rPr>
              <w:t>的社会保险证明（原件扫描件）</w:t>
            </w:r>
            <w:r>
              <w:rPr>
                <w:rStyle w:val="192"/>
                <w:rFonts w:hint="eastAsia" w:ascii="宋体" w:hAnsi="宋体" w:eastAsia="宋体" w:cs="宋体"/>
                <w:b w:val="0"/>
                <w:color w:val="auto"/>
                <w:sz w:val="21"/>
                <w:szCs w:val="24"/>
                <w:highlight w:val="none"/>
                <w:lang w:eastAsia="zh-CN"/>
              </w:rPr>
              <w:t>（</w:t>
            </w:r>
            <w:r>
              <w:rPr>
                <w:rStyle w:val="192"/>
                <w:rFonts w:hint="eastAsia" w:ascii="宋体" w:hAnsi="宋体" w:eastAsia="宋体" w:cs="宋体"/>
                <w:b w:val="0"/>
                <w:color w:val="auto"/>
                <w:sz w:val="21"/>
                <w:szCs w:val="24"/>
                <w:highlight w:val="none"/>
                <w:lang w:val="en-US" w:eastAsia="zh-CN"/>
              </w:rPr>
              <w:t>项目经理达到国家法定退休年龄的，无需提供社保证明材料；项目经理未达到国家法定退休年龄，但提前退休的，提供人力资源和社会保障部门出具的退休证明材料。</w:t>
            </w:r>
            <w:r>
              <w:rPr>
                <w:rStyle w:val="192"/>
                <w:rFonts w:hint="eastAsia" w:ascii="宋体" w:hAnsi="宋体" w:eastAsia="宋体" w:cs="宋体"/>
                <w:b w:val="0"/>
                <w:color w:val="auto"/>
                <w:sz w:val="21"/>
                <w:szCs w:val="24"/>
                <w:highlight w:val="none"/>
                <w:lang w:eastAsia="zh-CN"/>
              </w:rPr>
              <w:t>）</w:t>
            </w:r>
          </w:p>
        </w:tc>
      </w:tr>
      <w:tr w14:paraId="7048B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115" w:hRule="atLeast"/>
          <w:jc w:val="center"/>
        </w:trPr>
        <w:tc>
          <w:tcPr>
            <w:tcW w:w="9855" w:type="dxa"/>
            <w:gridSpan w:val="3"/>
            <w:noWrap w:val="0"/>
            <w:tcMar>
              <w:top w:w="100" w:type="dxa"/>
              <w:bottom w:w="100" w:type="dxa"/>
            </w:tcMar>
            <w:vAlign w:val="center"/>
          </w:tcPr>
          <w:p w14:paraId="0F43A1CD">
            <w:pPr>
              <w:pStyle w:val="254"/>
              <w:jc w:val="left"/>
              <w:rPr>
                <w:rStyle w:val="192"/>
                <w:rFonts w:ascii="宋体" w:hAnsi="宋体" w:eastAsia="宋体" w:cs="宋体"/>
                <w:b w:val="0"/>
                <w:color w:val="auto"/>
                <w:sz w:val="21"/>
                <w:szCs w:val="24"/>
                <w:highlight w:val="none"/>
              </w:rPr>
            </w:pPr>
            <w:bookmarkStart w:id="557" w:name="_Toc73364904"/>
            <w:bookmarkStart w:id="558" w:name="_Toc73365517"/>
            <w:r>
              <w:rPr>
                <w:rStyle w:val="192"/>
                <w:rFonts w:ascii="宋体" w:hAnsi="宋体" w:eastAsia="宋体" w:cs="宋体"/>
                <w:b w:val="0"/>
                <w:color w:val="auto"/>
                <w:sz w:val="21"/>
                <w:szCs w:val="24"/>
                <w:highlight w:val="none"/>
              </w:rPr>
              <w:t>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556"/>
          </w:p>
        </w:tc>
      </w:tr>
    </w:tbl>
    <w:p w14:paraId="34BE36F3">
      <w:pPr>
        <w:pStyle w:val="189"/>
        <w:spacing w:line="400" w:lineRule="exact"/>
        <w:jc w:val="left"/>
        <w:rPr>
          <w:rFonts w:hint="eastAsia" w:ascii="宋体" w:hAnsi="宋体" w:eastAsia="宋体"/>
          <w:color w:val="auto"/>
          <w:sz w:val="32"/>
          <w:highlight w:val="none"/>
        </w:rPr>
      </w:pPr>
      <w:bookmarkStart w:id="559" w:name="_Toc2078"/>
      <w:r>
        <w:rPr>
          <w:rFonts w:hint="eastAsia" w:ascii="宋体" w:hAnsi="宋体" w:eastAsia="宋体"/>
          <w:color w:val="auto"/>
          <w:sz w:val="32"/>
          <w:highlight w:val="none"/>
        </w:rPr>
        <w:t>4．磋商响应文件的有效性、完整性和响应程度审查</w:t>
      </w:r>
      <w:bookmarkEnd w:id="557"/>
      <w:bookmarkEnd w:id="558"/>
      <w:bookmarkEnd w:id="559"/>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817"/>
        <w:gridCol w:w="2552"/>
        <w:gridCol w:w="6260"/>
      </w:tblGrid>
      <w:tr w14:paraId="0D7DB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73AA71BA">
            <w:pPr>
              <w:pStyle w:val="255"/>
              <w:jc w:val="center"/>
              <w:rPr>
                <w:rFonts w:ascii="宋体" w:hAnsi="宋体" w:eastAsia="宋体" w:cs="宋体"/>
                <w:color w:val="auto"/>
                <w:sz w:val="21"/>
                <w:highlight w:val="none"/>
              </w:rPr>
            </w:pPr>
            <w:r>
              <w:rPr>
                <w:rFonts w:ascii="宋体" w:hAnsi="宋体" w:eastAsia="宋体" w:cs="宋体"/>
                <w:color w:val="auto"/>
                <w:sz w:val="21"/>
                <w:highlight w:val="none"/>
              </w:rPr>
              <w:t>序号</w:t>
            </w:r>
          </w:p>
        </w:tc>
        <w:tc>
          <w:tcPr>
            <w:tcW w:w="2552" w:type="dxa"/>
            <w:noWrap/>
            <w:tcMar>
              <w:top w:w="100" w:type="dxa"/>
              <w:bottom w:w="100" w:type="dxa"/>
            </w:tcMar>
            <w:vAlign w:val="center"/>
          </w:tcPr>
          <w:p w14:paraId="7643B216">
            <w:pPr>
              <w:pStyle w:val="255"/>
              <w:jc w:val="center"/>
              <w:rPr>
                <w:rFonts w:ascii="宋体" w:hAnsi="宋体" w:eastAsia="宋体" w:cs="宋体"/>
                <w:color w:val="auto"/>
                <w:sz w:val="21"/>
                <w:highlight w:val="none"/>
              </w:rPr>
            </w:pPr>
            <w:r>
              <w:rPr>
                <w:rFonts w:ascii="宋体" w:hAnsi="宋体" w:eastAsia="宋体" w:cs="宋体"/>
                <w:color w:val="auto"/>
                <w:sz w:val="21"/>
                <w:highlight w:val="none"/>
              </w:rPr>
              <w:t>审查要素</w:t>
            </w:r>
          </w:p>
        </w:tc>
        <w:tc>
          <w:tcPr>
            <w:tcW w:w="6260" w:type="dxa"/>
            <w:noWrap/>
            <w:tcMar>
              <w:top w:w="100" w:type="dxa"/>
              <w:bottom w:w="100" w:type="dxa"/>
            </w:tcMar>
            <w:vAlign w:val="center"/>
          </w:tcPr>
          <w:p w14:paraId="52F27DD3">
            <w:pPr>
              <w:pStyle w:val="255"/>
              <w:jc w:val="center"/>
              <w:rPr>
                <w:rFonts w:ascii="宋体" w:hAnsi="宋体" w:eastAsia="宋体" w:cs="宋体"/>
                <w:color w:val="auto"/>
                <w:sz w:val="21"/>
                <w:highlight w:val="none"/>
              </w:rPr>
            </w:pPr>
            <w:r>
              <w:rPr>
                <w:rFonts w:ascii="宋体" w:hAnsi="宋体" w:eastAsia="宋体" w:cs="宋体"/>
                <w:color w:val="auto"/>
                <w:sz w:val="21"/>
                <w:highlight w:val="none"/>
              </w:rPr>
              <w:t>审查内容</w:t>
            </w:r>
          </w:p>
        </w:tc>
      </w:tr>
      <w:tr w14:paraId="5C33F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629" w:type="dxa"/>
            <w:gridSpan w:val="3"/>
            <w:noWrap/>
            <w:tcMar>
              <w:top w:w="100" w:type="dxa"/>
              <w:bottom w:w="100" w:type="dxa"/>
            </w:tcMar>
            <w:vAlign w:val="center"/>
          </w:tcPr>
          <w:p w14:paraId="3BFAE026">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报价要求</w:t>
            </w:r>
          </w:p>
        </w:tc>
      </w:tr>
      <w:tr w14:paraId="66B61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55C9B2B8">
            <w:pPr>
              <w:pStyle w:val="255"/>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1</w:t>
            </w:r>
          </w:p>
        </w:tc>
        <w:tc>
          <w:tcPr>
            <w:tcW w:w="2552" w:type="dxa"/>
            <w:noWrap/>
            <w:tcMar>
              <w:top w:w="100" w:type="dxa"/>
              <w:bottom w:w="100" w:type="dxa"/>
            </w:tcMar>
            <w:vAlign w:val="center"/>
          </w:tcPr>
          <w:p w14:paraId="16E430D7">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报价符合性审查</w:t>
            </w:r>
          </w:p>
        </w:tc>
        <w:tc>
          <w:tcPr>
            <w:tcW w:w="6260" w:type="dxa"/>
            <w:noWrap/>
            <w:tcMar>
              <w:top w:w="100" w:type="dxa"/>
              <w:bottom w:w="100" w:type="dxa"/>
            </w:tcMar>
            <w:vAlign w:val="center"/>
          </w:tcPr>
          <w:p w14:paraId="6482B9EC">
            <w:pPr>
              <w:pStyle w:val="255"/>
              <w:jc w:val="left"/>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属于投标（响应）报价低于采购项目最高限价45%的，即投标（响应）报价&lt;采购项目最高限价×45%，供应商可随投标（响应）文件一并提交相关书面说明及必要的证明材料。</w:t>
            </w:r>
          </w:p>
        </w:tc>
      </w:tr>
      <w:tr w14:paraId="0D70A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26C06A30">
            <w:pPr>
              <w:pStyle w:val="255"/>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val="en-US" w:eastAsia="zh-CN"/>
              </w:rPr>
              <w:t>2</w:t>
            </w:r>
          </w:p>
        </w:tc>
        <w:tc>
          <w:tcPr>
            <w:tcW w:w="2552" w:type="dxa"/>
            <w:noWrap/>
            <w:tcMar>
              <w:top w:w="100" w:type="dxa"/>
              <w:bottom w:w="100" w:type="dxa"/>
            </w:tcMar>
            <w:vAlign w:val="center"/>
          </w:tcPr>
          <w:p w14:paraId="1474FCD6">
            <w:pPr>
              <w:pStyle w:val="255"/>
              <w:jc w:val="center"/>
              <w:rPr>
                <w:rFonts w:ascii="宋体" w:hAnsi="宋体" w:eastAsia="宋体" w:cs="宋体"/>
                <w:color w:val="auto"/>
                <w:sz w:val="21"/>
                <w:highlight w:val="none"/>
              </w:rPr>
            </w:pPr>
            <w:r>
              <w:rPr>
                <w:rFonts w:ascii="宋体" w:hAnsi="宋体" w:eastAsia="宋体" w:cs="宋体"/>
                <w:color w:val="auto"/>
                <w:sz w:val="21"/>
                <w:highlight w:val="none"/>
              </w:rPr>
              <w:t>投标文件有效性</w:t>
            </w:r>
          </w:p>
        </w:tc>
        <w:tc>
          <w:tcPr>
            <w:tcW w:w="6260" w:type="dxa"/>
            <w:noWrap/>
            <w:tcMar>
              <w:top w:w="100" w:type="dxa"/>
              <w:bottom w:w="100" w:type="dxa"/>
            </w:tcMar>
            <w:vAlign w:val="center"/>
          </w:tcPr>
          <w:p w14:paraId="28635D1D">
            <w:pPr>
              <w:pStyle w:val="25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1.</w:t>
            </w:r>
            <w:r>
              <w:rPr>
                <w:rFonts w:ascii="宋体" w:hAnsi="宋体" w:eastAsia="宋体" w:cs="宋体"/>
                <w:color w:val="auto"/>
                <w:sz w:val="21"/>
                <w:highlight w:val="none"/>
              </w:rPr>
              <w:t>电子投标文件的有效电子签章。</w:t>
            </w:r>
          </w:p>
          <w:p w14:paraId="6CE1D326">
            <w:pPr>
              <w:pStyle w:val="25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lang w:eastAsia="zh-CN"/>
              </w:rPr>
              <w:t>投标报价</w:t>
            </w:r>
            <w:r>
              <w:rPr>
                <w:rFonts w:ascii="宋体" w:hAnsi="宋体" w:eastAsia="宋体" w:cs="宋体"/>
                <w:color w:val="auto"/>
                <w:sz w:val="21"/>
                <w:highlight w:val="none"/>
                <w:rtl w:val="0"/>
                <w:lang w:val="en-US" w:eastAsia="zh-CN"/>
              </w:rPr>
              <w:t>未改变</w:t>
            </w:r>
            <w:r>
              <w:rPr>
                <w:rFonts w:hint="eastAsia" w:ascii="宋体" w:hAnsi="宋体" w:eastAsia="宋体" w:cs="宋体"/>
                <w:color w:val="auto"/>
                <w:sz w:val="21"/>
                <w:highlight w:val="none"/>
                <w:rtl w:val="0"/>
                <w:lang w:val="en-US" w:eastAsia="zh-CN"/>
              </w:rPr>
              <w:t>采购</w:t>
            </w:r>
            <w:r>
              <w:rPr>
                <w:rFonts w:ascii="宋体" w:hAnsi="宋体" w:eastAsia="宋体" w:cs="宋体"/>
                <w:color w:val="auto"/>
                <w:sz w:val="21"/>
                <w:highlight w:val="none"/>
                <w:rtl w:val="0"/>
                <w:lang w:val="en-US" w:eastAsia="zh-CN"/>
              </w:rPr>
              <w:t>文件规定的暂估价、暂列金额及甲供材料价格；未改变</w:t>
            </w:r>
            <w:r>
              <w:rPr>
                <w:rFonts w:hint="eastAsia" w:ascii="宋体" w:hAnsi="宋体" w:eastAsia="宋体" w:cs="宋体"/>
                <w:color w:val="auto"/>
                <w:sz w:val="21"/>
                <w:highlight w:val="none"/>
                <w:rtl w:val="0"/>
                <w:lang w:val="en-US" w:eastAsia="zh-CN"/>
              </w:rPr>
              <w:t>采购</w:t>
            </w:r>
            <w:r>
              <w:rPr>
                <w:rFonts w:ascii="宋体" w:hAnsi="宋体" w:eastAsia="宋体" w:cs="宋体"/>
                <w:color w:val="auto"/>
                <w:sz w:val="21"/>
                <w:highlight w:val="none"/>
                <w:rtl w:val="0"/>
                <w:lang w:val="en-US" w:eastAsia="zh-CN"/>
              </w:rPr>
              <w:t>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投标报价。</w:t>
            </w:r>
          </w:p>
          <w:p w14:paraId="33CF04DE">
            <w:pPr>
              <w:pStyle w:val="25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3.</w:t>
            </w:r>
            <w:r>
              <w:rPr>
                <w:rFonts w:ascii="宋体" w:hAnsi="宋体" w:eastAsia="宋体" w:cs="宋体"/>
                <w:color w:val="auto"/>
                <w:sz w:val="21"/>
                <w:highlight w:val="none"/>
              </w:rPr>
              <w:t>未发现属无效投标的其他情形。</w:t>
            </w:r>
          </w:p>
        </w:tc>
      </w:tr>
      <w:tr w14:paraId="69F77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629" w:type="dxa"/>
            <w:gridSpan w:val="3"/>
            <w:noWrap/>
            <w:tcMar>
              <w:top w:w="100" w:type="dxa"/>
              <w:bottom w:w="100" w:type="dxa"/>
            </w:tcMar>
            <w:vAlign w:val="center"/>
          </w:tcPr>
          <w:p w14:paraId="62BEFFBD">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商务要求</w:t>
            </w:r>
          </w:p>
        </w:tc>
      </w:tr>
      <w:tr w14:paraId="72229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68AA0161">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1</w:t>
            </w:r>
          </w:p>
        </w:tc>
        <w:tc>
          <w:tcPr>
            <w:tcW w:w="2552" w:type="dxa"/>
            <w:noWrap/>
            <w:tcMar>
              <w:top w:w="100" w:type="dxa"/>
              <w:bottom w:w="100" w:type="dxa"/>
            </w:tcMar>
            <w:vAlign w:val="center"/>
          </w:tcPr>
          <w:p w14:paraId="3BE5FD2E">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响应程度审查</w:t>
            </w:r>
          </w:p>
        </w:tc>
        <w:tc>
          <w:tcPr>
            <w:tcW w:w="6260" w:type="dxa"/>
            <w:noWrap/>
            <w:tcMar>
              <w:top w:w="100" w:type="dxa"/>
              <w:bottom w:w="100" w:type="dxa"/>
            </w:tcMar>
            <w:vAlign w:val="center"/>
          </w:tcPr>
          <w:p w14:paraId="2983430A">
            <w:pPr>
              <w:pStyle w:val="255"/>
              <w:jc w:val="left"/>
              <w:rPr>
                <w:rFonts w:ascii="宋体" w:hAnsi="宋体" w:eastAsia="宋体" w:cs="宋体"/>
                <w:color w:val="auto"/>
                <w:sz w:val="21"/>
                <w:highlight w:val="none"/>
              </w:rPr>
            </w:pPr>
            <w:r>
              <w:rPr>
                <w:rFonts w:hint="eastAsia" w:ascii="宋体" w:hAnsi="宋体" w:eastAsia="宋体" w:cs="宋体"/>
                <w:color w:val="auto"/>
                <w:sz w:val="21"/>
                <w:highlight w:val="none"/>
              </w:rPr>
              <w:t>满足招标文件商务部分的实质性要求和条件。</w:t>
            </w:r>
          </w:p>
        </w:tc>
      </w:tr>
      <w:tr w14:paraId="635D9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393" w:hRule="atLeast"/>
          <w:jc w:val="center"/>
        </w:trPr>
        <w:tc>
          <w:tcPr>
            <w:tcW w:w="817" w:type="dxa"/>
            <w:noWrap/>
            <w:tcMar>
              <w:top w:w="100" w:type="dxa"/>
              <w:bottom w:w="100" w:type="dxa"/>
            </w:tcMar>
            <w:vAlign w:val="center"/>
          </w:tcPr>
          <w:p w14:paraId="25386E14">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2</w:t>
            </w:r>
          </w:p>
        </w:tc>
        <w:tc>
          <w:tcPr>
            <w:tcW w:w="2552" w:type="dxa"/>
            <w:noWrap/>
            <w:tcMar>
              <w:top w:w="100" w:type="dxa"/>
              <w:bottom w:w="100" w:type="dxa"/>
            </w:tcMar>
            <w:vAlign w:val="center"/>
          </w:tcPr>
          <w:p w14:paraId="7D4B9E1A">
            <w:pPr>
              <w:pStyle w:val="255"/>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有</w:t>
            </w:r>
            <w:r>
              <w:rPr>
                <w:rFonts w:hint="eastAsia" w:ascii="宋体" w:hAnsi="宋体" w:eastAsia="宋体" w:cs="宋体"/>
                <w:color w:val="auto"/>
                <w:sz w:val="21"/>
                <w:highlight w:val="none"/>
              </w:rPr>
              <w:t>效性审查</w:t>
            </w:r>
          </w:p>
        </w:tc>
        <w:tc>
          <w:tcPr>
            <w:tcW w:w="6260" w:type="dxa"/>
            <w:noWrap/>
            <w:tcMar>
              <w:top w:w="100" w:type="dxa"/>
              <w:bottom w:w="100" w:type="dxa"/>
            </w:tcMar>
            <w:vAlign w:val="center"/>
          </w:tcPr>
          <w:p w14:paraId="1320B7F9">
            <w:pPr>
              <w:pStyle w:val="255"/>
              <w:jc w:val="left"/>
              <w:rPr>
                <w:rFonts w:ascii="宋体" w:hAnsi="宋体" w:eastAsia="宋体" w:cs="宋体"/>
                <w:color w:val="auto"/>
                <w:sz w:val="21"/>
                <w:highlight w:val="none"/>
              </w:rPr>
            </w:pPr>
            <w:r>
              <w:rPr>
                <w:rFonts w:hint="eastAsia" w:ascii="宋体" w:hAnsi="宋体" w:eastAsia="宋体" w:cs="宋体"/>
                <w:color w:val="auto"/>
                <w:sz w:val="21"/>
                <w:highlight w:val="none"/>
              </w:rPr>
              <w:t>提供法定代表人身份证明书；如有委托代理人，需提供法定代表人授权委托书，并同步提交投标单位为其缴纳的社保证明。</w:t>
            </w:r>
          </w:p>
        </w:tc>
      </w:tr>
      <w:tr w14:paraId="0F334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629" w:type="dxa"/>
            <w:gridSpan w:val="3"/>
            <w:noWrap/>
            <w:tcMar>
              <w:top w:w="100" w:type="dxa"/>
              <w:bottom w:w="100" w:type="dxa"/>
            </w:tcMar>
            <w:vAlign w:val="center"/>
          </w:tcPr>
          <w:p w14:paraId="22232B51">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技术要求</w:t>
            </w:r>
          </w:p>
        </w:tc>
      </w:tr>
      <w:tr w14:paraId="16868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167B0BF5">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1</w:t>
            </w:r>
          </w:p>
        </w:tc>
        <w:tc>
          <w:tcPr>
            <w:tcW w:w="2552" w:type="dxa"/>
            <w:noWrap/>
            <w:tcMar>
              <w:top w:w="100" w:type="dxa"/>
              <w:bottom w:w="100" w:type="dxa"/>
            </w:tcMar>
            <w:vAlign w:val="center"/>
          </w:tcPr>
          <w:p w14:paraId="5DA27662">
            <w:pPr>
              <w:pStyle w:val="255"/>
              <w:jc w:val="center"/>
              <w:rPr>
                <w:rFonts w:ascii="宋体" w:hAnsi="宋体" w:eastAsia="宋体" w:cs="宋体"/>
                <w:color w:val="auto"/>
                <w:sz w:val="21"/>
                <w:highlight w:val="none"/>
              </w:rPr>
            </w:pPr>
            <w:r>
              <w:rPr>
                <w:rFonts w:hint="eastAsia" w:ascii="宋体" w:hAnsi="宋体" w:eastAsia="宋体" w:cs="宋体"/>
                <w:color w:val="auto"/>
                <w:sz w:val="21"/>
                <w:highlight w:val="none"/>
              </w:rPr>
              <w:t>对招标文件响应程度</w:t>
            </w:r>
          </w:p>
        </w:tc>
        <w:tc>
          <w:tcPr>
            <w:tcW w:w="6260" w:type="dxa"/>
            <w:noWrap/>
            <w:tcMar>
              <w:top w:w="100" w:type="dxa"/>
              <w:bottom w:w="100" w:type="dxa"/>
            </w:tcMar>
            <w:vAlign w:val="center"/>
          </w:tcPr>
          <w:p w14:paraId="11418143">
            <w:pPr>
              <w:pStyle w:val="255"/>
              <w:jc w:val="left"/>
              <w:rPr>
                <w:rFonts w:hint="eastAsia" w:ascii="宋体" w:hAnsi="宋体" w:eastAsia="宋体" w:cs="宋体"/>
                <w:color w:val="auto"/>
                <w:sz w:val="21"/>
                <w:highlight w:val="none"/>
              </w:rPr>
            </w:pPr>
            <w:r>
              <w:rPr>
                <w:rFonts w:ascii="宋体" w:hAnsi="宋体" w:eastAsia="宋体" w:cs="宋体"/>
                <w:color w:val="auto"/>
                <w:sz w:val="21"/>
                <w:highlight w:val="none"/>
              </w:rPr>
              <w:t>实质性技术、商务条款（参数）未有负偏离；</w:t>
            </w:r>
            <w:r>
              <w:rPr>
                <w:rFonts w:hint="eastAsia" w:ascii="宋体" w:hAnsi="宋体" w:eastAsia="宋体" w:cs="宋体"/>
                <w:color w:val="auto"/>
                <w:sz w:val="21"/>
                <w:highlight w:val="none"/>
                <w:lang w:val="en-US" w:eastAsia="zh-CN"/>
              </w:rPr>
              <w:t>缺陷责任期、</w:t>
            </w:r>
            <w:r>
              <w:rPr>
                <w:rFonts w:hint="eastAsia" w:ascii="宋体" w:hAnsi="宋体" w:eastAsia="宋体" w:cs="宋体"/>
                <w:color w:val="auto"/>
                <w:sz w:val="21"/>
                <w:highlight w:val="none"/>
                <w:lang w:eastAsia="zh-CN"/>
              </w:rPr>
              <w:t>工期要求、</w:t>
            </w:r>
            <w:r>
              <w:rPr>
                <w:rFonts w:hint="eastAsia" w:ascii="宋体" w:hAnsi="宋体" w:eastAsia="宋体" w:cs="宋体"/>
                <w:color w:val="auto"/>
                <w:sz w:val="21"/>
                <w:highlight w:val="none"/>
                <w:lang w:val="en-US" w:eastAsia="zh-CN"/>
              </w:rPr>
              <w:t>工程量清单</w:t>
            </w:r>
            <w:r>
              <w:rPr>
                <w:rFonts w:ascii="宋体" w:hAnsi="宋体" w:eastAsia="宋体" w:cs="宋体"/>
                <w:color w:val="auto"/>
                <w:sz w:val="21"/>
                <w:highlight w:val="none"/>
              </w:rPr>
              <w:t>等</w:t>
            </w:r>
            <w:r>
              <w:rPr>
                <w:rFonts w:hint="eastAsia" w:ascii="宋体" w:hAnsi="宋体" w:eastAsia="宋体" w:cs="宋体"/>
                <w:color w:val="auto"/>
                <w:sz w:val="21"/>
                <w:highlight w:val="none"/>
                <w:lang w:val="en-US" w:eastAsia="zh-CN"/>
              </w:rPr>
              <w:t>实质性条款</w:t>
            </w:r>
            <w:r>
              <w:rPr>
                <w:rFonts w:ascii="宋体" w:hAnsi="宋体" w:eastAsia="宋体" w:cs="宋体"/>
                <w:color w:val="auto"/>
                <w:sz w:val="21"/>
                <w:highlight w:val="none"/>
              </w:rPr>
              <w:t>未有负偏离</w:t>
            </w:r>
            <w:r>
              <w:rPr>
                <w:rFonts w:hint="eastAsia" w:ascii="宋体" w:hAnsi="宋体" w:eastAsia="宋体" w:cs="宋体"/>
                <w:color w:val="auto"/>
                <w:sz w:val="21"/>
                <w:highlight w:val="none"/>
                <w:lang w:eastAsia="zh-CN"/>
              </w:rPr>
              <w:t>。</w:t>
            </w:r>
          </w:p>
        </w:tc>
      </w:tr>
      <w:tr w14:paraId="547D6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0EE507E9">
            <w:pPr>
              <w:pStyle w:val="255"/>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2</w:t>
            </w:r>
          </w:p>
        </w:tc>
        <w:tc>
          <w:tcPr>
            <w:tcW w:w="2552" w:type="dxa"/>
            <w:noWrap/>
            <w:tcMar>
              <w:top w:w="100" w:type="dxa"/>
              <w:bottom w:w="100" w:type="dxa"/>
            </w:tcMar>
            <w:vAlign w:val="center"/>
          </w:tcPr>
          <w:p w14:paraId="09BD538E">
            <w:pPr>
              <w:pStyle w:val="255"/>
              <w:jc w:val="center"/>
              <w:rPr>
                <w:rFonts w:hint="eastAsia" w:ascii="宋体" w:hAnsi="宋体" w:eastAsia="宋体" w:cs="宋体"/>
                <w:color w:val="auto"/>
                <w:sz w:val="21"/>
                <w:highlight w:val="none"/>
              </w:rPr>
            </w:pPr>
            <w:r>
              <w:rPr>
                <w:rFonts w:ascii="宋体" w:hAnsi="宋体" w:eastAsia="宋体" w:cs="宋体"/>
                <w:color w:val="auto"/>
                <w:sz w:val="21"/>
                <w:highlight w:val="none"/>
              </w:rPr>
              <w:t>投标文件有效性和完整性</w:t>
            </w:r>
          </w:p>
        </w:tc>
        <w:tc>
          <w:tcPr>
            <w:tcW w:w="6260" w:type="dxa"/>
            <w:noWrap/>
            <w:tcMar>
              <w:top w:w="100" w:type="dxa"/>
              <w:bottom w:w="100" w:type="dxa"/>
            </w:tcMar>
            <w:vAlign w:val="center"/>
          </w:tcPr>
          <w:p w14:paraId="166C9CA7">
            <w:pPr>
              <w:pStyle w:val="255"/>
              <w:jc w:val="left"/>
              <w:rPr>
                <w:rFonts w:hint="eastAsia" w:ascii="宋体" w:hAnsi="宋体" w:eastAsia="宋体" w:cs="宋体"/>
                <w:color w:val="auto"/>
                <w:sz w:val="21"/>
                <w:highlight w:val="none"/>
              </w:rPr>
            </w:pPr>
            <w:r>
              <w:rPr>
                <w:rFonts w:ascii="宋体" w:hAnsi="宋体" w:eastAsia="宋体" w:cs="宋体"/>
                <w:color w:val="auto"/>
                <w:sz w:val="21"/>
                <w:highlight w:val="none"/>
              </w:rPr>
              <w:t>按照招标文件的</w:t>
            </w:r>
            <w:r>
              <w:rPr>
                <w:rFonts w:hint="eastAsia" w:ascii="宋体" w:hAnsi="宋体" w:eastAsia="宋体" w:cs="宋体"/>
                <w:color w:val="auto"/>
                <w:sz w:val="21"/>
                <w:highlight w:val="none"/>
                <w:lang w:val="en-US" w:eastAsia="zh-CN"/>
              </w:rPr>
              <w:t>格式</w:t>
            </w:r>
            <w:r>
              <w:rPr>
                <w:rFonts w:ascii="宋体" w:hAnsi="宋体" w:eastAsia="宋体" w:cs="宋体"/>
                <w:color w:val="auto"/>
                <w:sz w:val="21"/>
                <w:highlight w:val="none"/>
              </w:rPr>
              <w:t>盖章签字等，投标文件内容完整性、齐全性、正确无误性。未发现属无效响应的情形。</w:t>
            </w:r>
          </w:p>
        </w:tc>
      </w:tr>
    </w:tbl>
    <w:p w14:paraId="233B43C5">
      <w:pPr>
        <w:rPr>
          <w:rFonts w:hint="eastAsia"/>
          <w:color w:val="auto"/>
          <w:sz w:val="20"/>
          <w:highlight w:val="none"/>
        </w:rPr>
      </w:pPr>
    </w:p>
    <w:p w14:paraId="313BE48A">
      <w:pPr>
        <w:pStyle w:val="325"/>
        <w:keepNext w:val="0"/>
        <w:keepLines w:val="0"/>
        <w:pageBreakBefore w:val="0"/>
        <w:widowControl w:val="0"/>
        <w:spacing w:before="0" w:after="0" w:line="440" w:lineRule="exact"/>
        <w:ind w:firstLine="482"/>
        <w:outlineLvl w:val="9"/>
        <w:rPr>
          <w:rFonts w:hint="eastAsia" w:ascii="宋体" w:hAnsi="宋体" w:cs="楷体"/>
          <w:b/>
          <w:bCs/>
          <w:color w:val="auto"/>
          <w:sz w:val="24"/>
          <w:szCs w:val="24"/>
          <w:highlight w:val="none"/>
          <w:lang w:val="en-US" w:eastAsia="zh-CN"/>
        </w:rPr>
      </w:pPr>
      <w:r>
        <w:rPr>
          <w:rFonts w:hint="eastAsia" w:ascii="宋体" w:hAnsi="宋体"/>
          <w:b/>
          <w:bCs/>
          <w:color w:val="auto"/>
          <w:sz w:val="24"/>
          <w:highlight w:val="none"/>
        </w:rPr>
        <w:t>注：</w:t>
      </w:r>
      <w:r>
        <w:rPr>
          <w:rFonts w:hint="eastAsia" w:ascii="宋体" w:hAnsi="宋体" w:cs="楷体"/>
          <w:b/>
          <w:bCs/>
          <w:color w:val="auto"/>
          <w:sz w:val="24"/>
          <w:szCs w:val="24"/>
          <w:highlight w:val="none"/>
          <w:lang w:val="en-US" w:eastAsia="zh-CN"/>
        </w:rPr>
        <w:t>根据《关于推动解决政府采购异常低价问题的通知》（财库〔2026〕2号）的要求，评审委员会应当启动异常低价投标（响应）审查程序的情形包括：</w:t>
      </w:r>
    </w:p>
    <w:p w14:paraId="2E82E07A">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2AD2D72B">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6C1627C6">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p>
    <w:p w14:paraId="00BE5758">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p>
    <w:p w14:paraId="136B641C">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42ED4A0C">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4C05C86">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7BD0DD4">
      <w:pPr>
        <w:keepNext w:val="0"/>
        <w:keepLines w:val="0"/>
        <w:pageBreakBefore w:val="0"/>
        <w:widowControl w:val="0"/>
        <w:spacing w:line="440" w:lineRule="exact"/>
        <w:ind w:firstLine="480"/>
        <w:rPr>
          <w:rFonts w:hint="eastAsia" w:ascii="宋体" w:hAnsi="宋体"/>
          <w:color w:val="auto"/>
          <w:sz w:val="24"/>
          <w:highlight w:val="none"/>
        </w:rPr>
      </w:pPr>
      <w:r>
        <w:rPr>
          <w:rFonts w:hint="eastAsia" w:ascii="宋体" w:hAnsi="宋体" w:cs="楷体"/>
          <w:b/>
          <w:bCs/>
          <w:color w:val="auto"/>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auto"/>
          <w:sz w:val="24"/>
          <w:highlight w:val="none"/>
        </w:rPr>
        <w:t>。</w:t>
      </w:r>
    </w:p>
    <w:p w14:paraId="0A1584AE">
      <w:pPr>
        <w:keepNext w:val="0"/>
        <w:keepLines w:val="0"/>
        <w:pageBreakBefore w:val="0"/>
        <w:widowControl w:val="0"/>
        <w:spacing w:line="440" w:lineRule="exact"/>
        <w:ind w:firstLine="482"/>
        <w:rPr>
          <w:rFonts w:ascii="宋体" w:hAnsi="宋体"/>
          <w:color w:val="auto"/>
          <w:sz w:val="24"/>
          <w:highlight w:val="none"/>
        </w:rPr>
      </w:pPr>
      <w:r>
        <w:rPr>
          <w:rFonts w:hint="eastAsia" w:ascii="宋体" w:hAnsi="宋体"/>
          <w:color w:val="auto"/>
          <w:sz w:val="24"/>
          <w:highlight w:val="none"/>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4B881821">
      <w:pPr>
        <w:pStyle w:val="189"/>
        <w:spacing w:line="400" w:lineRule="exact"/>
        <w:ind w:firstLine="321"/>
        <w:jc w:val="left"/>
        <w:rPr>
          <w:rFonts w:ascii="宋体" w:hAnsi="宋体" w:eastAsia="宋体"/>
          <w:color w:val="auto"/>
          <w:sz w:val="32"/>
          <w:highlight w:val="none"/>
        </w:rPr>
      </w:pPr>
      <w:bookmarkStart w:id="560" w:name="_Toc73364905"/>
      <w:bookmarkStart w:id="561" w:name="_Toc73365518"/>
      <w:bookmarkStart w:id="562" w:name="_Toc18742"/>
      <w:r>
        <w:rPr>
          <w:rFonts w:hint="eastAsia" w:ascii="宋体" w:hAnsi="宋体" w:eastAsia="宋体"/>
          <w:color w:val="auto"/>
          <w:sz w:val="32"/>
          <w:highlight w:val="none"/>
        </w:rPr>
        <w:t>5．磋商记录</w:t>
      </w:r>
      <w:bookmarkEnd w:id="560"/>
      <w:bookmarkEnd w:id="561"/>
      <w:bookmarkEnd w:id="562"/>
    </w:p>
    <w:p w14:paraId="0E1B9400">
      <w:pPr>
        <w:spacing w:line="360" w:lineRule="auto"/>
        <w:ind w:firstLine="480"/>
        <w:rPr>
          <w:rFonts w:ascii="宋体" w:hAnsi="宋体"/>
          <w:color w:val="auto"/>
          <w:sz w:val="24"/>
          <w:highlight w:val="none"/>
        </w:rPr>
      </w:pPr>
      <w:r>
        <w:rPr>
          <w:rFonts w:hint="eastAsia" w:ascii="宋体" w:hAnsi="宋体"/>
          <w:color w:val="auto"/>
          <w:sz w:val="24"/>
          <w:highlight w:val="none"/>
        </w:rPr>
        <w:t>5.1《磋商记录》包括供应商答复或承诺的内容、磋商文件的变动情况及最后报价等。</w:t>
      </w:r>
    </w:p>
    <w:p w14:paraId="4D9AF9CA">
      <w:pPr>
        <w:pStyle w:val="189"/>
        <w:spacing w:line="400" w:lineRule="exact"/>
        <w:ind w:firstLine="321"/>
        <w:jc w:val="left"/>
        <w:rPr>
          <w:rFonts w:ascii="宋体" w:hAnsi="宋体" w:eastAsia="宋体"/>
          <w:color w:val="auto"/>
          <w:sz w:val="32"/>
          <w:highlight w:val="none"/>
        </w:rPr>
      </w:pPr>
      <w:bookmarkStart w:id="563" w:name="_Toc73365519"/>
      <w:bookmarkStart w:id="564" w:name="_Toc73364906"/>
      <w:bookmarkStart w:id="565" w:name="_Toc6745"/>
      <w:r>
        <w:rPr>
          <w:rFonts w:hint="eastAsia" w:ascii="宋体" w:hAnsi="宋体" w:eastAsia="宋体"/>
          <w:color w:val="auto"/>
          <w:sz w:val="32"/>
          <w:highlight w:val="none"/>
        </w:rPr>
        <w:t>6．综合评分</w:t>
      </w:r>
      <w:bookmarkEnd w:id="563"/>
      <w:bookmarkEnd w:id="564"/>
      <w:bookmarkEnd w:id="565"/>
    </w:p>
    <w:p w14:paraId="0445EFAB">
      <w:pPr>
        <w:widowControl/>
        <w:spacing w:line="360" w:lineRule="auto"/>
        <w:ind w:firstLine="482"/>
        <w:rPr>
          <w:rFonts w:hint="eastAsia" w:ascii="宋体" w:hAnsi="宋体"/>
          <w:b/>
          <w:color w:val="auto"/>
          <w:sz w:val="24"/>
          <w:highlight w:val="none"/>
        </w:rPr>
      </w:pPr>
      <w:r>
        <w:rPr>
          <w:rFonts w:hint="eastAsia" w:ascii="宋体" w:hAnsi="宋体"/>
          <w:b/>
          <w:color w:val="auto"/>
          <w:sz w:val="24"/>
          <w:highlight w:val="none"/>
        </w:rPr>
        <w:t>经磋商确定最终采购需求和提交最后报价的供应商后，磋商小组采用综合评分法对提交最后报价的供应商的磋商响应文件和最后报价进行综合评分，总分100分。</w:t>
      </w:r>
    </w:p>
    <w:p w14:paraId="04B91D63">
      <w:pPr>
        <w:rPr>
          <w:rFonts w:hint="eastAsia"/>
          <w:color w:val="auto"/>
          <w:highlight w:val="none"/>
        </w:rPr>
      </w:pPr>
      <w:bookmarkStart w:id="566" w:name="EBeb38bac6236d407ea758a92f796301c6"/>
    </w:p>
    <w:tbl>
      <w:tblPr>
        <w:tblStyle w:val="32"/>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2430"/>
        <w:gridCol w:w="2514"/>
        <w:gridCol w:w="2514"/>
        <w:gridCol w:w="2515"/>
      </w:tblGrid>
      <w:tr w14:paraId="6AD70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3118" w:type="dxa"/>
            <w:noWrap w:val="0"/>
            <w:tcMar>
              <w:top w:w="100" w:type="dxa"/>
              <w:bottom w:w="100" w:type="dxa"/>
            </w:tcMar>
            <w:vAlign w:val="center"/>
          </w:tcPr>
          <w:p w14:paraId="4B8941B8">
            <w:pPr>
              <w:pStyle w:val="256"/>
              <w:jc w:val="center"/>
              <w:rPr>
                <w:rStyle w:val="192"/>
                <w:rFonts w:ascii="宋体" w:hAnsi="宋体" w:eastAsia="宋体" w:cs="宋体"/>
                <w:b w:val="0"/>
                <w:color w:val="auto"/>
                <w:sz w:val="22"/>
                <w:szCs w:val="28"/>
                <w:highlight w:val="none"/>
              </w:rPr>
            </w:pPr>
            <w:r>
              <w:rPr>
                <w:rStyle w:val="192"/>
                <w:rFonts w:ascii="宋体" w:hAnsi="宋体" w:eastAsia="宋体" w:cs="宋体"/>
                <w:b w:val="0"/>
                <w:color w:val="auto"/>
                <w:sz w:val="22"/>
                <w:szCs w:val="28"/>
                <w:highlight w:val="none"/>
              </w:rPr>
              <w:t>评分项目</w:t>
            </w:r>
          </w:p>
        </w:tc>
        <w:tc>
          <w:tcPr>
            <w:tcW w:w="3118" w:type="dxa"/>
            <w:noWrap w:val="0"/>
            <w:tcMar>
              <w:top w:w="100" w:type="dxa"/>
              <w:bottom w:w="100" w:type="dxa"/>
            </w:tcMar>
            <w:vAlign w:val="center"/>
          </w:tcPr>
          <w:p w14:paraId="499E2845">
            <w:pPr>
              <w:pStyle w:val="256"/>
              <w:jc w:val="center"/>
              <w:rPr>
                <w:rStyle w:val="192"/>
                <w:rFonts w:ascii="宋体" w:hAnsi="宋体" w:eastAsia="宋体" w:cs="宋体"/>
                <w:b w:val="0"/>
                <w:color w:val="auto"/>
                <w:sz w:val="22"/>
                <w:szCs w:val="28"/>
                <w:highlight w:val="none"/>
              </w:rPr>
            </w:pPr>
            <w:r>
              <w:rPr>
                <w:rStyle w:val="192"/>
                <w:rFonts w:ascii="宋体" w:hAnsi="宋体" w:eastAsia="宋体" w:cs="宋体"/>
                <w:b w:val="0"/>
                <w:color w:val="auto"/>
                <w:sz w:val="22"/>
                <w:szCs w:val="28"/>
                <w:highlight w:val="none"/>
              </w:rPr>
              <w:t>技术评估</w:t>
            </w:r>
          </w:p>
        </w:tc>
        <w:tc>
          <w:tcPr>
            <w:tcW w:w="3118" w:type="dxa"/>
            <w:noWrap w:val="0"/>
            <w:tcMar>
              <w:top w:w="100" w:type="dxa"/>
              <w:bottom w:w="100" w:type="dxa"/>
            </w:tcMar>
            <w:vAlign w:val="center"/>
          </w:tcPr>
          <w:p w14:paraId="59A9D116">
            <w:pPr>
              <w:pStyle w:val="256"/>
              <w:jc w:val="center"/>
              <w:rPr>
                <w:rStyle w:val="192"/>
                <w:rFonts w:ascii="宋体" w:hAnsi="宋体" w:eastAsia="宋体" w:cs="宋体"/>
                <w:b w:val="0"/>
                <w:color w:val="auto"/>
                <w:sz w:val="22"/>
                <w:szCs w:val="28"/>
                <w:highlight w:val="none"/>
              </w:rPr>
            </w:pPr>
            <w:r>
              <w:rPr>
                <w:rStyle w:val="192"/>
                <w:rFonts w:ascii="宋体" w:hAnsi="宋体" w:eastAsia="宋体" w:cs="宋体"/>
                <w:b w:val="0"/>
                <w:color w:val="auto"/>
                <w:sz w:val="22"/>
                <w:szCs w:val="28"/>
                <w:highlight w:val="none"/>
              </w:rPr>
              <w:t>商务评估</w:t>
            </w:r>
          </w:p>
        </w:tc>
        <w:tc>
          <w:tcPr>
            <w:tcW w:w="3118" w:type="dxa"/>
            <w:noWrap w:val="0"/>
            <w:tcMar>
              <w:top w:w="100" w:type="dxa"/>
              <w:bottom w:w="100" w:type="dxa"/>
            </w:tcMar>
            <w:vAlign w:val="center"/>
          </w:tcPr>
          <w:p w14:paraId="3381A7CC">
            <w:pPr>
              <w:pStyle w:val="256"/>
              <w:jc w:val="center"/>
              <w:rPr>
                <w:rStyle w:val="192"/>
                <w:rFonts w:ascii="宋体" w:hAnsi="宋体" w:eastAsia="宋体" w:cs="宋体"/>
                <w:b w:val="0"/>
                <w:color w:val="auto"/>
                <w:sz w:val="22"/>
                <w:szCs w:val="28"/>
                <w:highlight w:val="none"/>
              </w:rPr>
            </w:pPr>
            <w:r>
              <w:rPr>
                <w:rStyle w:val="192"/>
                <w:rFonts w:ascii="宋体" w:hAnsi="宋体" w:eastAsia="宋体" w:cs="宋体"/>
                <w:b w:val="0"/>
                <w:color w:val="auto"/>
                <w:sz w:val="22"/>
                <w:szCs w:val="28"/>
                <w:highlight w:val="none"/>
              </w:rPr>
              <w:t>价格评估</w:t>
            </w:r>
          </w:p>
        </w:tc>
      </w:tr>
      <w:tr w14:paraId="1694E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3118" w:type="dxa"/>
            <w:noWrap w:val="0"/>
            <w:tcMar>
              <w:top w:w="100" w:type="dxa"/>
              <w:bottom w:w="100" w:type="dxa"/>
            </w:tcMar>
            <w:vAlign w:val="center"/>
          </w:tcPr>
          <w:p w14:paraId="2314597A">
            <w:pPr>
              <w:pStyle w:val="256"/>
              <w:jc w:val="center"/>
              <w:rPr>
                <w:rStyle w:val="192"/>
                <w:rFonts w:ascii="宋体" w:hAnsi="宋体" w:eastAsia="宋体" w:cs="宋体"/>
                <w:b w:val="0"/>
                <w:color w:val="auto"/>
                <w:sz w:val="22"/>
                <w:szCs w:val="28"/>
                <w:highlight w:val="none"/>
              </w:rPr>
            </w:pPr>
            <w:r>
              <w:rPr>
                <w:rStyle w:val="192"/>
                <w:rFonts w:ascii="宋体" w:hAnsi="宋体" w:eastAsia="宋体" w:cs="宋体"/>
                <w:b w:val="0"/>
                <w:color w:val="auto"/>
                <w:sz w:val="22"/>
                <w:szCs w:val="28"/>
                <w:highlight w:val="none"/>
              </w:rPr>
              <w:t>分值</w:t>
            </w:r>
            <w:bookmarkEnd w:id="566"/>
          </w:p>
        </w:tc>
        <w:tc>
          <w:tcPr>
            <w:tcW w:w="3118" w:type="dxa"/>
            <w:noWrap w:val="0"/>
            <w:tcMar>
              <w:top w:w="100" w:type="dxa"/>
              <w:bottom w:w="100" w:type="dxa"/>
            </w:tcMar>
            <w:vAlign w:val="center"/>
          </w:tcPr>
          <w:p w14:paraId="46ED0077">
            <w:pPr>
              <w:pStyle w:val="256"/>
              <w:jc w:val="center"/>
              <w:rPr>
                <w:rStyle w:val="192"/>
                <w:rFonts w:hint="default" w:ascii="宋体" w:hAnsi="宋体" w:eastAsia="宋体" w:cs="宋体"/>
                <w:b w:val="0"/>
                <w:color w:val="auto"/>
                <w:sz w:val="22"/>
                <w:szCs w:val="28"/>
                <w:highlight w:val="none"/>
                <w:lang w:val="en-US"/>
              </w:rPr>
            </w:pPr>
            <w:r>
              <w:rPr>
                <w:rStyle w:val="192"/>
                <w:rFonts w:hint="eastAsia" w:ascii="宋体" w:hAnsi="宋体" w:eastAsia="宋体" w:cs="宋体"/>
                <w:b w:val="0"/>
                <w:color w:val="auto"/>
                <w:sz w:val="22"/>
                <w:szCs w:val="28"/>
                <w:highlight w:val="none"/>
              </w:rPr>
              <w:t>55.00</w:t>
            </w:r>
          </w:p>
        </w:tc>
        <w:tc>
          <w:tcPr>
            <w:tcW w:w="3118" w:type="dxa"/>
            <w:noWrap w:val="0"/>
            <w:tcMar>
              <w:top w:w="100" w:type="dxa"/>
              <w:bottom w:w="100" w:type="dxa"/>
            </w:tcMar>
            <w:vAlign w:val="center"/>
          </w:tcPr>
          <w:p w14:paraId="34EF54B8">
            <w:pPr>
              <w:pStyle w:val="256"/>
              <w:jc w:val="center"/>
              <w:rPr>
                <w:rStyle w:val="192"/>
                <w:rFonts w:hint="default" w:ascii="宋体" w:hAnsi="宋体" w:eastAsia="宋体" w:cs="宋体"/>
                <w:b w:val="0"/>
                <w:color w:val="auto"/>
                <w:sz w:val="22"/>
                <w:szCs w:val="28"/>
                <w:highlight w:val="none"/>
                <w:lang w:val="en-US" w:eastAsia="zh-CN"/>
              </w:rPr>
            </w:pPr>
            <w:r>
              <w:rPr>
                <w:rStyle w:val="192"/>
                <w:rFonts w:hint="eastAsia" w:ascii="宋体" w:hAnsi="宋体" w:eastAsia="宋体" w:cs="宋体"/>
                <w:b w:val="0"/>
                <w:color w:val="auto"/>
                <w:sz w:val="22"/>
                <w:szCs w:val="28"/>
                <w:highlight w:val="none"/>
              </w:rPr>
              <w:t>25.00</w:t>
            </w:r>
          </w:p>
        </w:tc>
        <w:tc>
          <w:tcPr>
            <w:tcW w:w="3118" w:type="dxa"/>
            <w:noWrap w:val="0"/>
            <w:tcMar>
              <w:top w:w="100" w:type="dxa"/>
              <w:bottom w:w="100" w:type="dxa"/>
            </w:tcMar>
            <w:vAlign w:val="center"/>
          </w:tcPr>
          <w:p w14:paraId="4CEA7F13">
            <w:pPr>
              <w:pStyle w:val="256"/>
              <w:jc w:val="center"/>
              <w:rPr>
                <w:rStyle w:val="192"/>
                <w:rFonts w:hint="default" w:ascii="宋体" w:hAnsi="宋体" w:eastAsia="宋体" w:cs="宋体"/>
                <w:b w:val="0"/>
                <w:color w:val="auto"/>
                <w:sz w:val="22"/>
                <w:szCs w:val="28"/>
                <w:highlight w:val="none"/>
                <w:lang w:val="en-US" w:eastAsia="zh-CN"/>
              </w:rPr>
            </w:pPr>
            <w:r>
              <w:rPr>
                <w:rStyle w:val="192"/>
                <w:rFonts w:hint="eastAsia" w:ascii="宋体" w:hAnsi="宋体" w:eastAsia="宋体" w:cs="宋体"/>
                <w:b w:val="0"/>
                <w:color w:val="auto"/>
                <w:sz w:val="22"/>
                <w:szCs w:val="28"/>
                <w:highlight w:val="none"/>
              </w:rPr>
              <w:t>20.00</w:t>
            </w:r>
          </w:p>
        </w:tc>
      </w:tr>
    </w:tbl>
    <w:p w14:paraId="5879BFFE">
      <w:pPr>
        <w:keepNext w:val="0"/>
        <w:keepLines w:val="0"/>
        <w:pageBreakBefore w:val="0"/>
        <w:widowControl w:val="0"/>
        <w:spacing w:before="240" w:after="240"/>
        <w:rPr>
          <w:rFonts w:hint="eastAsia" w:ascii="宋体" w:hAnsi="宋体"/>
          <w:b/>
          <w:color w:val="auto"/>
          <w:sz w:val="24"/>
          <w:highlight w:val="none"/>
          <w:lang w:eastAsia="zh-CN"/>
        </w:rPr>
      </w:pPr>
      <w:r>
        <w:rPr>
          <w:rFonts w:hint="eastAsia" w:ascii="宋体" w:hAnsi="宋体"/>
          <w:b/>
          <w:color w:val="auto"/>
          <w:sz w:val="24"/>
          <w:highlight w:val="none"/>
          <w:lang w:eastAsia="zh-CN"/>
        </w:rPr>
        <w:t>（一）技术评估</w:t>
      </w:r>
    </w:p>
    <w:tbl>
      <w:tblPr>
        <w:tblStyle w:val="32"/>
        <w:tblW w:w="52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494"/>
        <w:gridCol w:w="7159"/>
        <w:gridCol w:w="794"/>
      </w:tblGrid>
      <w:tr w14:paraId="44C5E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67A4A30">
            <w:pPr>
              <w:pStyle w:val="256"/>
              <w:jc w:val="center"/>
              <w:rPr>
                <w:rStyle w:val="34"/>
                <w:rFonts w:hint="eastAsia" w:ascii="宋体" w:hAnsi="宋体" w:eastAsia="宋体" w:cs="宋体"/>
                <w:b w:val="0"/>
                <w:color w:val="auto"/>
                <w:sz w:val="22"/>
                <w:szCs w:val="22"/>
                <w:highlight w:val="none"/>
              </w:rPr>
            </w:pPr>
            <w:bookmarkStart w:id="567" w:name="EB6b2e05f244d844eab53af046ecb4a6fe"/>
            <w:r>
              <w:rPr>
                <w:rStyle w:val="34"/>
                <w:rFonts w:hint="eastAsia" w:ascii="宋体" w:hAnsi="宋体" w:eastAsia="宋体" w:cs="宋体"/>
                <w:b w:val="0"/>
                <w:color w:val="auto"/>
                <w:sz w:val="22"/>
                <w:szCs w:val="22"/>
                <w:highlight w:val="none"/>
              </w:rPr>
              <w:t>序号</w:t>
            </w:r>
          </w:p>
        </w:tc>
        <w:tc>
          <w:tcPr>
            <w:tcW w:w="73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C214C5">
            <w:pPr>
              <w:pStyle w:val="256"/>
              <w:jc w:val="center"/>
              <w:rPr>
                <w:rStyle w:val="34"/>
                <w:rFonts w:hint="eastAsia" w:ascii="宋体" w:hAnsi="宋体" w:eastAsia="宋体" w:cs="宋体"/>
                <w:b w:val="0"/>
                <w:color w:val="auto"/>
                <w:sz w:val="22"/>
                <w:szCs w:val="22"/>
                <w:highlight w:val="none"/>
              </w:rPr>
            </w:pPr>
            <w:r>
              <w:rPr>
                <w:rStyle w:val="34"/>
                <w:rFonts w:hint="eastAsia" w:ascii="宋体" w:hAnsi="宋体" w:eastAsia="宋体" w:cs="宋体"/>
                <w:b w:val="0"/>
                <w:color w:val="auto"/>
                <w:sz w:val="22"/>
                <w:szCs w:val="22"/>
                <w:highlight w:val="none"/>
              </w:rPr>
              <w:t>评审因素</w:t>
            </w:r>
          </w:p>
        </w:tc>
        <w:tc>
          <w:tcPr>
            <w:tcW w:w="352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097082">
            <w:pPr>
              <w:pStyle w:val="256"/>
              <w:jc w:val="center"/>
              <w:rPr>
                <w:rStyle w:val="34"/>
                <w:rFonts w:hint="eastAsia" w:ascii="宋体" w:hAnsi="宋体" w:eastAsia="宋体" w:cs="宋体"/>
                <w:b w:val="0"/>
                <w:color w:val="auto"/>
                <w:sz w:val="22"/>
                <w:szCs w:val="22"/>
                <w:highlight w:val="none"/>
              </w:rPr>
            </w:pPr>
            <w:r>
              <w:rPr>
                <w:rStyle w:val="34"/>
                <w:rFonts w:hint="eastAsia" w:ascii="宋体" w:hAnsi="宋体" w:eastAsia="宋体" w:cs="宋体"/>
                <w:b w:val="0"/>
                <w:color w:val="auto"/>
                <w:sz w:val="22"/>
                <w:szCs w:val="22"/>
                <w:highlight w:val="none"/>
              </w:rPr>
              <w:t>评审细则</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B0DA2B">
            <w:pPr>
              <w:pStyle w:val="256"/>
              <w:jc w:val="center"/>
              <w:rPr>
                <w:rStyle w:val="34"/>
                <w:rFonts w:hint="eastAsia" w:ascii="宋体" w:hAnsi="宋体" w:eastAsia="宋体" w:cs="宋体"/>
                <w:b w:val="0"/>
                <w:color w:val="auto"/>
                <w:sz w:val="22"/>
                <w:szCs w:val="22"/>
                <w:highlight w:val="none"/>
              </w:rPr>
            </w:pPr>
            <w:r>
              <w:rPr>
                <w:rStyle w:val="34"/>
                <w:rFonts w:hint="eastAsia" w:ascii="宋体" w:hAnsi="宋体" w:eastAsia="宋体" w:cs="宋体"/>
                <w:b w:val="0"/>
                <w:color w:val="auto"/>
                <w:sz w:val="22"/>
                <w:szCs w:val="22"/>
                <w:highlight w:val="none"/>
              </w:rPr>
              <w:t>分值</w:t>
            </w:r>
          </w:p>
        </w:tc>
      </w:tr>
      <w:tr w14:paraId="327FB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6A6AB35">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1.1</w:t>
            </w:r>
          </w:p>
        </w:tc>
        <w:tc>
          <w:tcPr>
            <w:tcW w:w="73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36B083">
            <w:pPr>
              <w:pStyle w:val="25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总体概述</w:t>
            </w:r>
          </w:p>
        </w:tc>
        <w:tc>
          <w:tcPr>
            <w:tcW w:w="352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747789">
            <w:pPr>
              <w:pStyle w:val="256"/>
              <w:rPr>
                <w:rFonts w:hint="eastAsia" w:ascii="宋体" w:hAnsi="宋体" w:eastAsia="宋体" w:cs="宋体"/>
                <w:color w:val="auto"/>
                <w:sz w:val="22"/>
                <w:szCs w:val="22"/>
                <w:highlight w:val="none"/>
              </w:rPr>
            </w:pPr>
            <w:r>
              <w:rPr>
                <w:rFonts w:hint="eastAsia" w:ascii="宋体" w:hAnsi="宋体" w:eastAsia="宋体" w:cs="宋体"/>
                <w:sz w:val="22"/>
                <w:szCs w:val="22"/>
              </w:rPr>
              <w:t>对各供应商针对本项目总体概述进行评价，考察其是否包含工程概述、总体安排、施工部署及施工段划分，描述完全包含上述要点的，得3分，方案有缺项或无方案的不得分。对总体概述表述详细，总体安排科学合理，加1分。方案考虑周全，有合理化建议的加1分。本项最高得</w:t>
            </w:r>
            <w:r>
              <w:rPr>
                <w:rFonts w:hint="eastAsia" w:ascii="宋体" w:hAnsi="宋体" w:eastAsia="宋体" w:cs="宋体"/>
                <w:sz w:val="22"/>
                <w:szCs w:val="22"/>
                <w:lang w:val="en-US" w:eastAsia="zh-CN"/>
              </w:rPr>
              <w:t>5</w:t>
            </w:r>
            <w:r>
              <w:rPr>
                <w:rFonts w:hint="eastAsia" w:ascii="宋体" w:hAnsi="宋体" w:eastAsia="宋体" w:cs="宋体"/>
                <w:sz w:val="22"/>
                <w:szCs w:val="22"/>
              </w:rPr>
              <w:t>分。</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24A3A6">
            <w:pPr>
              <w:pStyle w:val="256"/>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rPr>
              <w:t>5.0</w:t>
            </w:r>
          </w:p>
        </w:tc>
      </w:tr>
      <w:tr w14:paraId="0B9F4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997357C">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1.2</w:t>
            </w:r>
          </w:p>
        </w:tc>
        <w:tc>
          <w:tcPr>
            <w:tcW w:w="73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C877E1">
            <w:pPr>
              <w:pStyle w:val="25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施工现场平面布置和临时设施、临时道路布置</w:t>
            </w:r>
          </w:p>
        </w:tc>
        <w:tc>
          <w:tcPr>
            <w:tcW w:w="352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A2FECDB">
            <w:pPr>
              <w:pStyle w:val="256"/>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对各供应商关于本工程施工现场平面布置和临时设施、临时道路布置进行评价，方案中具有施工现场平面布置和临时设施、临时道路布置的，得3分，方案有缺项或无方案的不得分。布置方案完全符合施工现场条件且布置科学合理切实可行的，加2分。本项最高得</w:t>
            </w:r>
            <w:r>
              <w:rPr>
                <w:rFonts w:hint="eastAsia" w:ascii="宋体" w:hAnsi="宋体" w:eastAsia="宋体" w:cs="宋体"/>
                <w:sz w:val="22"/>
                <w:szCs w:val="22"/>
                <w:lang w:val="en-US" w:eastAsia="zh-CN"/>
              </w:rPr>
              <w:t>5</w:t>
            </w:r>
            <w:r>
              <w:rPr>
                <w:rFonts w:hint="eastAsia" w:ascii="宋体" w:hAnsi="宋体" w:eastAsia="宋体" w:cs="宋体"/>
                <w:sz w:val="22"/>
                <w:szCs w:val="22"/>
              </w:rPr>
              <w:t>分。</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200B0FD">
            <w:pPr>
              <w:pStyle w:val="256"/>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rPr>
              <w:t>5.0</w:t>
            </w:r>
          </w:p>
        </w:tc>
      </w:tr>
      <w:tr w14:paraId="4D21C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06B962">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1.3</w:t>
            </w:r>
          </w:p>
        </w:tc>
        <w:tc>
          <w:tcPr>
            <w:tcW w:w="73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33050F">
            <w:pPr>
              <w:pStyle w:val="25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施工进度计划和各阶段进度的保证措施</w:t>
            </w:r>
          </w:p>
        </w:tc>
        <w:tc>
          <w:tcPr>
            <w:tcW w:w="352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CB170F">
            <w:pPr>
              <w:pStyle w:val="256"/>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对各供应商关于本工程施工进度计划的描述进行评价，考察其是否包含本项目的施工进度计划、各阶段进度的保证措施，描述完全包含上述要点的，得</w:t>
            </w:r>
            <w:r>
              <w:rPr>
                <w:rFonts w:hint="eastAsia" w:ascii="宋体" w:hAnsi="宋体" w:eastAsia="宋体" w:cs="宋体"/>
                <w:sz w:val="22"/>
                <w:szCs w:val="22"/>
                <w:lang w:val="en-US" w:eastAsia="zh-CN"/>
              </w:rPr>
              <w:t>4</w:t>
            </w:r>
            <w:r>
              <w:rPr>
                <w:rFonts w:hint="eastAsia" w:ascii="宋体" w:hAnsi="宋体" w:eastAsia="宋体" w:cs="宋体"/>
                <w:sz w:val="22"/>
                <w:szCs w:val="22"/>
              </w:rPr>
              <w:t>分，方案有缺项或无方案的不得分。总进度计划详尽，加</w:t>
            </w:r>
            <w:r>
              <w:rPr>
                <w:rFonts w:hint="eastAsia" w:ascii="宋体" w:hAnsi="宋体" w:eastAsia="宋体" w:cs="宋体"/>
                <w:sz w:val="22"/>
                <w:szCs w:val="22"/>
                <w:lang w:val="en-US" w:eastAsia="zh-CN"/>
              </w:rPr>
              <w:t>1.5</w:t>
            </w:r>
            <w:r>
              <w:rPr>
                <w:rFonts w:hint="eastAsia" w:ascii="宋体" w:hAnsi="宋体" w:eastAsia="宋体" w:cs="宋体"/>
                <w:sz w:val="22"/>
                <w:szCs w:val="22"/>
              </w:rPr>
              <w:t>分；关键节点等设置清晰准确的，加</w:t>
            </w:r>
            <w:r>
              <w:rPr>
                <w:rFonts w:hint="eastAsia" w:ascii="宋体" w:hAnsi="宋体" w:eastAsia="宋体" w:cs="宋体"/>
                <w:sz w:val="22"/>
                <w:szCs w:val="22"/>
                <w:lang w:val="en-US" w:eastAsia="zh-CN"/>
              </w:rPr>
              <w:t>1.5</w:t>
            </w:r>
            <w:r>
              <w:rPr>
                <w:rFonts w:hint="eastAsia" w:ascii="宋体" w:hAnsi="宋体" w:eastAsia="宋体" w:cs="宋体"/>
                <w:sz w:val="22"/>
                <w:szCs w:val="22"/>
              </w:rPr>
              <w:t>分。本项最高得</w:t>
            </w:r>
            <w:r>
              <w:rPr>
                <w:rFonts w:hint="eastAsia" w:ascii="宋体" w:hAnsi="宋体" w:eastAsia="宋体" w:cs="宋体"/>
                <w:sz w:val="22"/>
                <w:szCs w:val="22"/>
                <w:lang w:val="en-US" w:eastAsia="zh-CN"/>
              </w:rPr>
              <w:t>7</w:t>
            </w:r>
            <w:r>
              <w:rPr>
                <w:rFonts w:hint="eastAsia" w:ascii="宋体" w:hAnsi="宋体" w:eastAsia="宋体" w:cs="宋体"/>
                <w:sz w:val="22"/>
                <w:szCs w:val="22"/>
              </w:rPr>
              <w:t>分。</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8CDE5E">
            <w:pPr>
              <w:pStyle w:val="256"/>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rPr>
              <w:t>7.0</w:t>
            </w:r>
          </w:p>
        </w:tc>
      </w:tr>
      <w:tr w14:paraId="02CE2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61DA69">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1.4</w:t>
            </w:r>
          </w:p>
        </w:tc>
        <w:tc>
          <w:tcPr>
            <w:tcW w:w="73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527C380">
            <w:pPr>
              <w:pStyle w:val="25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各分部分项工程的施工方案及质量保证措施</w:t>
            </w:r>
          </w:p>
        </w:tc>
        <w:tc>
          <w:tcPr>
            <w:tcW w:w="352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972CA28">
            <w:pPr>
              <w:pStyle w:val="256"/>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对各供应商关于本工程分部分项工程的施工方案及其质量保证措施进行评价，考察其是否包含本项目涉及的分部分项工程的施工方案及其质量保证措施，描述完全包含上述要点的，得</w:t>
            </w:r>
            <w:r>
              <w:rPr>
                <w:rFonts w:hint="eastAsia" w:ascii="宋体" w:hAnsi="宋体" w:eastAsia="宋体" w:cs="宋体"/>
                <w:sz w:val="22"/>
                <w:szCs w:val="22"/>
                <w:lang w:val="en-US" w:eastAsia="zh-CN"/>
              </w:rPr>
              <w:t>5</w:t>
            </w:r>
            <w:r>
              <w:rPr>
                <w:rFonts w:hint="eastAsia" w:ascii="宋体" w:hAnsi="宋体" w:eastAsia="宋体" w:cs="宋体"/>
                <w:sz w:val="22"/>
                <w:szCs w:val="22"/>
              </w:rPr>
              <w:t>分，方案有缺项或无方案的不得分。针对于本项目的具体施工方案及质量保证措施全面周到的，加2分。具体的施工方案及质量保证措施</w:t>
            </w:r>
            <w:r>
              <w:rPr>
                <w:rFonts w:hint="eastAsia" w:ascii="宋体" w:hAnsi="宋体" w:eastAsia="宋体" w:cs="宋体"/>
                <w:sz w:val="22"/>
                <w:szCs w:val="22"/>
                <w:lang w:eastAsia="zh-CN"/>
              </w:rPr>
              <w:t>措施科学合理、操作性强的</w:t>
            </w:r>
            <w:r>
              <w:rPr>
                <w:rFonts w:hint="eastAsia" w:ascii="宋体" w:hAnsi="宋体" w:eastAsia="宋体" w:cs="宋体"/>
                <w:sz w:val="22"/>
                <w:szCs w:val="22"/>
              </w:rPr>
              <w:t>，加2分。本项最高得</w:t>
            </w:r>
            <w:r>
              <w:rPr>
                <w:rFonts w:hint="eastAsia" w:ascii="宋体" w:hAnsi="宋体" w:eastAsia="宋体" w:cs="宋体"/>
                <w:sz w:val="22"/>
                <w:szCs w:val="22"/>
                <w:lang w:val="en-US" w:eastAsia="zh-CN"/>
              </w:rPr>
              <w:t>9</w:t>
            </w:r>
            <w:r>
              <w:rPr>
                <w:rFonts w:hint="eastAsia" w:ascii="宋体" w:hAnsi="宋体" w:eastAsia="宋体" w:cs="宋体"/>
                <w:sz w:val="22"/>
                <w:szCs w:val="22"/>
              </w:rPr>
              <w:t>分。</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9E1AF9">
            <w:pPr>
              <w:pStyle w:val="256"/>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9</w:t>
            </w:r>
            <w:r>
              <w:rPr>
                <w:rFonts w:hint="eastAsia" w:ascii="宋体" w:hAnsi="宋体" w:eastAsia="宋体" w:cs="宋体"/>
                <w:sz w:val="22"/>
                <w:szCs w:val="22"/>
              </w:rPr>
              <w:t>.0</w:t>
            </w:r>
          </w:p>
        </w:tc>
      </w:tr>
      <w:tr w14:paraId="2D3FC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03B835">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1.5</w:t>
            </w:r>
          </w:p>
        </w:tc>
        <w:tc>
          <w:tcPr>
            <w:tcW w:w="73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CD1C98">
            <w:pPr>
              <w:pStyle w:val="25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安全文明施工及环境保护措施</w:t>
            </w:r>
          </w:p>
        </w:tc>
        <w:tc>
          <w:tcPr>
            <w:tcW w:w="352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4814A5">
            <w:pPr>
              <w:pStyle w:val="256"/>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对各供应商关于本工程安全文明施工及环境保护措施进行评价，考察其是否包含施工现场扬尘污染防治及环境保护措施，描述完全包含上述要点的，得</w:t>
            </w:r>
            <w:r>
              <w:rPr>
                <w:rFonts w:hint="eastAsia" w:ascii="宋体" w:hAnsi="宋体" w:eastAsia="宋体" w:cs="宋体"/>
                <w:sz w:val="22"/>
                <w:szCs w:val="22"/>
                <w:lang w:val="en-US" w:eastAsia="zh-CN"/>
              </w:rPr>
              <w:t>4</w:t>
            </w:r>
            <w:r>
              <w:rPr>
                <w:rFonts w:hint="eastAsia" w:ascii="宋体" w:hAnsi="宋体" w:eastAsia="宋体" w:cs="宋体"/>
                <w:sz w:val="22"/>
                <w:szCs w:val="22"/>
              </w:rPr>
              <w:t>分，方案有缺项或无方案的不得分。以上措施科学合理，问题解决机制简单有效的，加1</w:t>
            </w:r>
            <w:r>
              <w:rPr>
                <w:rFonts w:hint="eastAsia" w:ascii="宋体" w:hAnsi="宋体" w:eastAsia="宋体" w:cs="宋体"/>
                <w:sz w:val="22"/>
                <w:szCs w:val="22"/>
                <w:lang w:val="en-US" w:eastAsia="zh-CN"/>
              </w:rPr>
              <w:t>.5</w:t>
            </w:r>
            <w:r>
              <w:rPr>
                <w:rFonts w:hint="eastAsia" w:ascii="宋体" w:hAnsi="宋体" w:eastAsia="宋体" w:cs="宋体"/>
                <w:sz w:val="22"/>
                <w:szCs w:val="22"/>
              </w:rPr>
              <w:t>分。对项目安全、环保等风险进行分析，给出应对措施且针对性</w:t>
            </w:r>
            <w:r>
              <w:rPr>
                <w:rFonts w:hint="eastAsia" w:ascii="宋体" w:hAnsi="宋体" w:eastAsia="宋体" w:cs="宋体"/>
                <w:sz w:val="22"/>
                <w:szCs w:val="22"/>
                <w:lang w:eastAsia="zh-CN"/>
              </w:rPr>
              <w:t>、操作性强的</w:t>
            </w:r>
            <w:r>
              <w:rPr>
                <w:rFonts w:hint="eastAsia" w:ascii="宋体" w:hAnsi="宋体" w:eastAsia="宋体" w:cs="宋体"/>
                <w:sz w:val="22"/>
                <w:szCs w:val="22"/>
              </w:rPr>
              <w:t>，加1</w:t>
            </w:r>
            <w:r>
              <w:rPr>
                <w:rFonts w:hint="eastAsia" w:ascii="宋体" w:hAnsi="宋体" w:eastAsia="宋体" w:cs="宋体"/>
                <w:sz w:val="22"/>
                <w:szCs w:val="22"/>
                <w:lang w:val="en-US" w:eastAsia="zh-CN"/>
              </w:rPr>
              <w:t>.5</w:t>
            </w:r>
            <w:r>
              <w:rPr>
                <w:rFonts w:hint="eastAsia" w:ascii="宋体" w:hAnsi="宋体" w:eastAsia="宋体" w:cs="宋体"/>
                <w:sz w:val="22"/>
                <w:szCs w:val="22"/>
              </w:rPr>
              <w:t>分。本项最高得</w:t>
            </w:r>
            <w:r>
              <w:rPr>
                <w:rFonts w:hint="eastAsia" w:ascii="宋体" w:hAnsi="宋体" w:eastAsia="宋体" w:cs="宋体"/>
                <w:sz w:val="22"/>
                <w:szCs w:val="22"/>
                <w:lang w:val="en-US" w:eastAsia="zh-CN"/>
              </w:rPr>
              <w:t>7</w:t>
            </w:r>
            <w:r>
              <w:rPr>
                <w:rFonts w:hint="eastAsia" w:ascii="宋体" w:hAnsi="宋体" w:eastAsia="宋体" w:cs="宋体"/>
                <w:sz w:val="22"/>
                <w:szCs w:val="22"/>
              </w:rPr>
              <w:t>分。</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7AB56DB">
            <w:pPr>
              <w:pStyle w:val="256"/>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7</w:t>
            </w:r>
            <w:r>
              <w:rPr>
                <w:rFonts w:hint="eastAsia" w:ascii="宋体" w:hAnsi="宋体" w:eastAsia="宋体" w:cs="宋体"/>
                <w:sz w:val="22"/>
                <w:szCs w:val="22"/>
              </w:rPr>
              <w:t>.0</w:t>
            </w:r>
          </w:p>
        </w:tc>
      </w:tr>
      <w:tr w14:paraId="312BB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C7AC24">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1.6</w:t>
            </w:r>
          </w:p>
        </w:tc>
        <w:tc>
          <w:tcPr>
            <w:tcW w:w="73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304BC9">
            <w:pPr>
              <w:pStyle w:val="25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劳动力、机械设备和材料投入计划</w:t>
            </w:r>
          </w:p>
        </w:tc>
        <w:tc>
          <w:tcPr>
            <w:tcW w:w="352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CA1475D">
            <w:pPr>
              <w:pStyle w:val="256"/>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对各供应商投入的劳动力、机械设备和材料情况进行评价，描述完全包含上述内容的，得</w:t>
            </w:r>
            <w:r>
              <w:rPr>
                <w:rFonts w:hint="eastAsia" w:ascii="宋体" w:hAnsi="宋体" w:eastAsia="宋体" w:cs="宋体"/>
                <w:sz w:val="22"/>
                <w:szCs w:val="22"/>
                <w:lang w:val="en-US" w:eastAsia="zh-CN"/>
              </w:rPr>
              <w:t>3</w:t>
            </w:r>
            <w:r>
              <w:rPr>
                <w:rFonts w:hint="eastAsia" w:ascii="宋体" w:hAnsi="宋体" w:eastAsia="宋体" w:cs="宋体"/>
                <w:sz w:val="22"/>
                <w:szCs w:val="22"/>
              </w:rPr>
              <w:t>分，方案有缺项或无方案的不得分。投入的劳动力、机械设备和材料情况科学合理的，加</w:t>
            </w:r>
            <w:r>
              <w:rPr>
                <w:rFonts w:hint="eastAsia" w:ascii="宋体" w:hAnsi="宋体" w:eastAsia="宋体" w:cs="宋体"/>
                <w:sz w:val="22"/>
                <w:szCs w:val="22"/>
                <w:lang w:val="en-US" w:eastAsia="zh-CN"/>
              </w:rPr>
              <w:t>1</w:t>
            </w:r>
            <w:r>
              <w:rPr>
                <w:rFonts w:hint="eastAsia" w:ascii="宋体" w:hAnsi="宋体" w:eastAsia="宋体" w:cs="宋体"/>
                <w:sz w:val="22"/>
                <w:szCs w:val="22"/>
              </w:rPr>
              <w:t>分。方案内容详尽周到</w:t>
            </w:r>
            <w:r>
              <w:rPr>
                <w:rFonts w:hint="eastAsia" w:ascii="宋体" w:hAnsi="宋体" w:eastAsia="宋体" w:cs="宋体"/>
                <w:sz w:val="22"/>
                <w:szCs w:val="22"/>
                <w:lang w:eastAsia="zh-CN"/>
              </w:rPr>
              <w:t>、操作性强的</w:t>
            </w:r>
            <w:r>
              <w:rPr>
                <w:rFonts w:hint="eastAsia" w:ascii="宋体" w:hAnsi="宋体" w:eastAsia="宋体" w:cs="宋体"/>
                <w:sz w:val="22"/>
                <w:szCs w:val="22"/>
              </w:rPr>
              <w:t>，加</w:t>
            </w:r>
            <w:r>
              <w:rPr>
                <w:rFonts w:hint="eastAsia" w:ascii="宋体" w:hAnsi="宋体" w:eastAsia="宋体" w:cs="宋体"/>
                <w:sz w:val="22"/>
                <w:szCs w:val="22"/>
                <w:lang w:val="en-US" w:eastAsia="zh-CN"/>
              </w:rPr>
              <w:t>1</w:t>
            </w:r>
            <w:r>
              <w:rPr>
                <w:rFonts w:hint="eastAsia" w:ascii="宋体" w:hAnsi="宋体" w:eastAsia="宋体" w:cs="宋体"/>
                <w:sz w:val="22"/>
                <w:szCs w:val="22"/>
              </w:rPr>
              <w:t>分。本项最高得</w:t>
            </w:r>
            <w:r>
              <w:rPr>
                <w:rFonts w:hint="eastAsia" w:ascii="宋体" w:hAnsi="宋体" w:eastAsia="宋体" w:cs="宋体"/>
                <w:sz w:val="22"/>
                <w:szCs w:val="22"/>
                <w:lang w:val="en-US" w:eastAsia="zh-CN"/>
              </w:rPr>
              <w:t>5</w:t>
            </w:r>
            <w:r>
              <w:rPr>
                <w:rFonts w:hint="eastAsia" w:ascii="宋体" w:hAnsi="宋体" w:eastAsia="宋体" w:cs="宋体"/>
                <w:sz w:val="22"/>
                <w:szCs w:val="22"/>
              </w:rPr>
              <w:t>分。</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AEB1CA0">
            <w:pPr>
              <w:pStyle w:val="256"/>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5</w:t>
            </w:r>
            <w:r>
              <w:rPr>
                <w:rFonts w:hint="eastAsia" w:ascii="宋体" w:hAnsi="宋体" w:eastAsia="宋体" w:cs="宋体"/>
                <w:sz w:val="22"/>
                <w:szCs w:val="22"/>
              </w:rPr>
              <w:t>.0</w:t>
            </w:r>
          </w:p>
        </w:tc>
      </w:tr>
      <w:tr w14:paraId="4321E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778488">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1.7</w:t>
            </w:r>
          </w:p>
        </w:tc>
        <w:tc>
          <w:tcPr>
            <w:tcW w:w="73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8DD4B5">
            <w:pPr>
              <w:pStyle w:val="25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关键施工技术、工艺及工程项目实施的重点、难点和解决方案</w:t>
            </w:r>
          </w:p>
        </w:tc>
        <w:tc>
          <w:tcPr>
            <w:tcW w:w="352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D346F1">
            <w:pPr>
              <w:pStyle w:val="256"/>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对各供应商关于本工程关键施工技术、工艺及工程项目实施的重点、难点和解决方案进行评价，具有关键施工技术、工艺及工程项目实施的重点、难点和解决方案的，得</w:t>
            </w:r>
            <w:r>
              <w:rPr>
                <w:rFonts w:hint="eastAsia" w:ascii="宋体" w:hAnsi="宋体" w:eastAsia="宋体" w:cs="宋体"/>
                <w:sz w:val="22"/>
                <w:szCs w:val="22"/>
                <w:lang w:val="en-US" w:eastAsia="zh-CN"/>
              </w:rPr>
              <w:t>5</w:t>
            </w:r>
            <w:r>
              <w:rPr>
                <w:rFonts w:hint="eastAsia" w:ascii="宋体" w:hAnsi="宋体" w:eastAsia="宋体" w:cs="宋体"/>
                <w:sz w:val="22"/>
                <w:szCs w:val="22"/>
              </w:rPr>
              <w:t>分，方案有缺项或无方案的不得分。针对本项目的关键施工技术、工艺科学先进，可行性强的，加2分。本项目实施的重难点分析透彻且解决方案</w:t>
            </w:r>
            <w:r>
              <w:rPr>
                <w:rFonts w:hint="eastAsia" w:ascii="宋体" w:hAnsi="宋体" w:eastAsia="宋体" w:cs="宋体"/>
                <w:sz w:val="22"/>
                <w:szCs w:val="22"/>
                <w:lang w:eastAsia="zh-CN"/>
              </w:rPr>
              <w:t>可操作性强的</w:t>
            </w:r>
            <w:r>
              <w:rPr>
                <w:rFonts w:hint="eastAsia" w:ascii="宋体" w:hAnsi="宋体" w:eastAsia="宋体" w:cs="宋体"/>
                <w:sz w:val="22"/>
                <w:szCs w:val="22"/>
              </w:rPr>
              <w:t>，加2分。本项最高得</w:t>
            </w:r>
            <w:r>
              <w:rPr>
                <w:rFonts w:hint="eastAsia" w:ascii="宋体" w:hAnsi="宋体" w:eastAsia="宋体" w:cs="宋体"/>
                <w:sz w:val="22"/>
                <w:szCs w:val="22"/>
                <w:lang w:val="en-US" w:eastAsia="zh-CN"/>
              </w:rPr>
              <w:t>9</w:t>
            </w:r>
            <w:r>
              <w:rPr>
                <w:rFonts w:hint="eastAsia" w:ascii="宋体" w:hAnsi="宋体" w:eastAsia="宋体" w:cs="宋体"/>
                <w:sz w:val="22"/>
                <w:szCs w:val="22"/>
              </w:rPr>
              <w:t>分。</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CC4CAE">
            <w:pPr>
              <w:pStyle w:val="256"/>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9</w:t>
            </w:r>
            <w:r>
              <w:rPr>
                <w:rFonts w:hint="eastAsia" w:ascii="宋体" w:hAnsi="宋体" w:eastAsia="宋体" w:cs="宋体"/>
                <w:sz w:val="22"/>
                <w:szCs w:val="22"/>
              </w:rPr>
              <w:t>.0</w:t>
            </w:r>
          </w:p>
        </w:tc>
      </w:tr>
      <w:tr w14:paraId="0CFC6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4EF795D">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1.8</w:t>
            </w:r>
          </w:p>
        </w:tc>
        <w:tc>
          <w:tcPr>
            <w:tcW w:w="73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781453">
            <w:pPr>
              <w:pStyle w:val="256"/>
              <w:jc w:val="center"/>
              <w:rPr>
                <w:rFonts w:hint="eastAsia" w:ascii="宋体" w:hAnsi="宋体" w:cs="宋体"/>
                <w:color w:val="auto"/>
                <w:sz w:val="22"/>
                <w:szCs w:val="22"/>
                <w:highlight w:val="none"/>
              </w:rPr>
            </w:pPr>
            <w:r>
              <w:rPr>
                <w:rFonts w:hint="eastAsia" w:ascii="宋体" w:hAnsi="宋体" w:eastAsia="宋体" w:cs="宋体"/>
                <w:sz w:val="22"/>
                <w:szCs w:val="22"/>
              </w:rPr>
              <w:t>冬雨季施工、已有设施、管线的加固、保护等特殊情况下的施工措施</w:t>
            </w:r>
          </w:p>
        </w:tc>
        <w:tc>
          <w:tcPr>
            <w:tcW w:w="352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3D8D15">
            <w:pPr>
              <w:pStyle w:val="256"/>
              <w:rPr>
                <w:rFonts w:hint="eastAsia" w:ascii="宋体" w:hAnsi="宋体" w:cs="宋体"/>
                <w:color w:val="auto"/>
                <w:sz w:val="22"/>
                <w:szCs w:val="22"/>
                <w:highlight w:val="none"/>
              </w:rPr>
            </w:pPr>
            <w:r>
              <w:rPr>
                <w:rFonts w:hint="eastAsia" w:ascii="宋体" w:hAnsi="宋体" w:eastAsia="宋体" w:cs="宋体"/>
                <w:sz w:val="22"/>
                <w:szCs w:val="22"/>
              </w:rPr>
              <w:t>对各供应商关于本工程冬雨季施工、已有设施、管线的加固、保护等特殊情况下的施工措施进行评价，具有冬雨季施工、已有设施、管线的加固、保护等特殊情况下的施工措施的，得</w:t>
            </w:r>
            <w:r>
              <w:rPr>
                <w:rFonts w:hint="eastAsia" w:ascii="宋体" w:hAnsi="宋体" w:eastAsia="宋体" w:cs="宋体"/>
                <w:sz w:val="22"/>
                <w:szCs w:val="22"/>
                <w:lang w:val="en-US" w:eastAsia="zh-CN"/>
              </w:rPr>
              <w:t>2</w:t>
            </w:r>
            <w:r>
              <w:rPr>
                <w:rFonts w:hint="eastAsia" w:ascii="宋体" w:hAnsi="宋体" w:eastAsia="宋体" w:cs="宋体"/>
                <w:sz w:val="22"/>
                <w:szCs w:val="22"/>
              </w:rPr>
              <w:t>分，方案有缺项或无方案的不得分。施工措施</w:t>
            </w:r>
            <w:r>
              <w:rPr>
                <w:rFonts w:hint="eastAsia" w:ascii="宋体" w:hAnsi="宋体" w:eastAsia="宋体" w:cs="宋体"/>
                <w:sz w:val="22"/>
                <w:szCs w:val="22"/>
                <w:lang w:eastAsia="zh-CN"/>
              </w:rPr>
              <w:t>措施科学合理、操作性强的</w:t>
            </w:r>
            <w:r>
              <w:rPr>
                <w:rFonts w:hint="eastAsia" w:ascii="宋体" w:hAnsi="宋体" w:eastAsia="宋体" w:cs="宋体"/>
                <w:sz w:val="22"/>
                <w:szCs w:val="22"/>
              </w:rPr>
              <w:t>，加1分。针对本项目以上特殊情况下的施工有合理化建议且满足施工需要的，加1分。本项最高得</w:t>
            </w:r>
            <w:r>
              <w:rPr>
                <w:rFonts w:hint="eastAsia" w:ascii="宋体" w:hAnsi="宋体" w:eastAsia="宋体" w:cs="宋体"/>
                <w:sz w:val="22"/>
                <w:szCs w:val="22"/>
                <w:lang w:val="en-US" w:eastAsia="zh-CN"/>
              </w:rPr>
              <w:t>4</w:t>
            </w:r>
            <w:r>
              <w:rPr>
                <w:rFonts w:hint="eastAsia" w:ascii="宋体" w:hAnsi="宋体" w:eastAsia="宋体" w:cs="宋体"/>
                <w:sz w:val="22"/>
                <w:szCs w:val="22"/>
              </w:rPr>
              <w:t xml:space="preserve">分。 </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1954B68">
            <w:pPr>
              <w:pStyle w:val="25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lang w:val="en-US" w:eastAsia="zh-CN"/>
              </w:rPr>
              <w:t>4</w:t>
            </w:r>
            <w:r>
              <w:rPr>
                <w:rFonts w:hint="eastAsia" w:ascii="宋体" w:hAnsi="宋体" w:eastAsia="宋体" w:cs="宋体"/>
                <w:sz w:val="22"/>
                <w:szCs w:val="22"/>
              </w:rPr>
              <w:t>.0</w:t>
            </w:r>
          </w:p>
        </w:tc>
      </w:tr>
      <w:tr w14:paraId="5726D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3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B659ED">
            <w:pPr>
              <w:pStyle w:val="256"/>
              <w:jc w:val="center"/>
              <w:rPr>
                <w:rFonts w:hint="eastAsia" w:ascii="宋体" w:hAnsi="宋体" w:eastAsia="宋体" w:cs="宋体"/>
                <w:color w:val="auto"/>
                <w:sz w:val="22"/>
                <w:szCs w:val="22"/>
                <w:highlight w:val="none"/>
                <w:lang w:val="en-US" w:eastAsia="zh-CN"/>
              </w:rPr>
            </w:pPr>
            <w:r>
              <w:rPr>
                <w:rStyle w:val="34"/>
                <w:rFonts w:hint="eastAsia" w:ascii="宋体" w:hAnsi="宋体" w:eastAsia="宋体" w:cs="宋体"/>
                <w:b w:val="0"/>
                <w:color w:val="000000" w:themeColor="text1"/>
                <w:sz w:val="22"/>
                <w:szCs w:val="22"/>
                <w14:textFill>
                  <w14:solidFill>
                    <w14:schemeClr w14:val="tx1"/>
                  </w14:solidFill>
                </w14:textFill>
              </w:rPr>
              <w:t>1.</w:t>
            </w:r>
            <w:r>
              <w:rPr>
                <w:rStyle w:val="34"/>
                <w:rFonts w:hint="eastAsia" w:ascii="宋体" w:hAnsi="宋体" w:eastAsia="宋体" w:cs="宋体"/>
                <w:b w:val="0"/>
                <w:color w:val="000000" w:themeColor="text1"/>
                <w:sz w:val="22"/>
                <w:szCs w:val="22"/>
                <w:lang w:val="en-US" w:eastAsia="zh-CN"/>
                <w14:textFill>
                  <w14:solidFill>
                    <w14:schemeClr w14:val="tx1"/>
                  </w14:solidFill>
                </w14:textFill>
              </w:rPr>
              <w:t>9</w:t>
            </w:r>
          </w:p>
        </w:tc>
        <w:tc>
          <w:tcPr>
            <w:tcW w:w="73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978F7C">
            <w:pPr>
              <w:pStyle w:val="256"/>
              <w:jc w:val="center"/>
              <w:rPr>
                <w:rFonts w:hint="eastAsia" w:ascii="宋体" w:hAnsi="宋体" w:cs="宋体"/>
                <w:color w:val="auto"/>
                <w:sz w:val="22"/>
                <w:szCs w:val="22"/>
                <w:highlight w:val="none"/>
              </w:rPr>
            </w:pPr>
            <w:r>
              <w:rPr>
                <w:rFonts w:hint="eastAsia" w:ascii="宋体" w:hAnsi="宋体" w:eastAsia="宋体" w:cs="宋体"/>
                <w:sz w:val="22"/>
                <w:szCs w:val="22"/>
              </w:rPr>
              <w:t>新技术、新产品、新工艺、新材料应用</w:t>
            </w:r>
          </w:p>
        </w:tc>
        <w:tc>
          <w:tcPr>
            <w:tcW w:w="352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48E8AA">
            <w:pPr>
              <w:pStyle w:val="256"/>
              <w:rPr>
                <w:rFonts w:hint="eastAsia" w:ascii="宋体" w:hAnsi="宋体" w:cs="宋体"/>
                <w:color w:val="auto"/>
                <w:sz w:val="22"/>
                <w:szCs w:val="22"/>
                <w:highlight w:val="none"/>
              </w:rPr>
            </w:pPr>
            <w:r>
              <w:rPr>
                <w:rFonts w:hint="eastAsia" w:ascii="宋体" w:hAnsi="宋体" w:eastAsia="宋体" w:cs="宋体"/>
                <w:sz w:val="22"/>
                <w:szCs w:val="22"/>
              </w:rPr>
              <w:t>对各供应商关于本工程使用的新技术、新产品、新工艺、新材料应用进行评价，描述完全包含上述内容的得</w:t>
            </w:r>
            <w:r>
              <w:rPr>
                <w:rFonts w:hint="eastAsia" w:ascii="宋体" w:hAnsi="宋体" w:eastAsia="宋体" w:cs="宋体"/>
                <w:sz w:val="22"/>
                <w:szCs w:val="22"/>
                <w:lang w:val="en-US" w:eastAsia="zh-CN"/>
              </w:rPr>
              <w:t>2</w:t>
            </w:r>
            <w:r>
              <w:rPr>
                <w:rFonts w:hint="eastAsia" w:ascii="宋体" w:hAnsi="宋体" w:eastAsia="宋体" w:cs="宋体"/>
                <w:sz w:val="22"/>
                <w:szCs w:val="22"/>
              </w:rPr>
              <w:t>分，方案有缺项或无方案的不得分。以上方案内容符合本项目具体实施内容且科学合理的，加1分。以上方案内容</w:t>
            </w:r>
            <w:r>
              <w:rPr>
                <w:rFonts w:hint="eastAsia" w:ascii="宋体" w:hAnsi="宋体" w:eastAsia="宋体" w:cs="宋体"/>
                <w:sz w:val="22"/>
                <w:szCs w:val="22"/>
                <w:lang w:eastAsia="zh-CN"/>
              </w:rPr>
              <w:t>可操作性强的</w:t>
            </w:r>
            <w:r>
              <w:rPr>
                <w:rFonts w:hint="eastAsia" w:ascii="宋体" w:hAnsi="宋体" w:eastAsia="宋体" w:cs="宋体"/>
                <w:sz w:val="22"/>
                <w:szCs w:val="22"/>
              </w:rPr>
              <w:t>，加1分。本项最高得</w:t>
            </w:r>
            <w:r>
              <w:rPr>
                <w:rFonts w:hint="eastAsia" w:ascii="宋体" w:hAnsi="宋体" w:eastAsia="宋体" w:cs="宋体"/>
                <w:sz w:val="22"/>
                <w:szCs w:val="22"/>
                <w:lang w:val="en-US" w:eastAsia="zh-CN"/>
              </w:rPr>
              <w:t>4</w:t>
            </w:r>
            <w:r>
              <w:rPr>
                <w:rFonts w:hint="eastAsia" w:ascii="宋体" w:hAnsi="宋体" w:eastAsia="宋体" w:cs="宋体"/>
                <w:sz w:val="22"/>
                <w:szCs w:val="22"/>
              </w:rPr>
              <w:t>分。</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5F03EA">
            <w:pPr>
              <w:pStyle w:val="25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lang w:val="en-US" w:eastAsia="zh-CN"/>
              </w:rPr>
              <w:t>4</w:t>
            </w:r>
            <w:r>
              <w:rPr>
                <w:rFonts w:hint="eastAsia" w:ascii="宋体" w:hAnsi="宋体" w:eastAsia="宋体" w:cs="宋体"/>
                <w:sz w:val="22"/>
                <w:szCs w:val="22"/>
              </w:rPr>
              <w:t>.0</w:t>
            </w:r>
            <w:bookmarkEnd w:id="567"/>
          </w:p>
        </w:tc>
      </w:tr>
    </w:tbl>
    <w:p w14:paraId="16366445">
      <w:pPr>
        <w:keepNext w:val="0"/>
        <w:keepLines w:val="0"/>
        <w:pageBreakBefore w:val="0"/>
        <w:widowControl w:val="0"/>
        <w:spacing w:before="240" w:after="240"/>
        <w:rPr>
          <w:rFonts w:hint="eastAsia"/>
          <w:color w:val="auto"/>
          <w:highlight w:val="none"/>
        </w:rPr>
      </w:pPr>
      <w:r>
        <w:rPr>
          <w:rFonts w:hint="eastAsia" w:ascii="宋体" w:hAnsi="宋体"/>
          <w:b/>
          <w:color w:val="auto"/>
          <w:sz w:val="24"/>
          <w:highlight w:val="none"/>
          <w:lang w:eastAsia="zh-CN"/>
        </w:rPr>
        <w:t>（二）商务评估</w:t>
      </w:r>
      <w:bookmarkStart w:id="568" w:name="EBcc36ae01fb994a918da451ccb0f74e57"/>
    </w:p>
    <w:tbl>
      <w:tblPr>
        <w:tblStyle w:val="32"/>
        <w:tblW w:w="52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477"/>
        <w:gridCol w:w="7230"/>
        <w:gridCol w:w="751"/>
      </w:tblGrid>
      <w:tr w14:paraId="6CA48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3AFC95">
            <w:pPr>
              <w:pStyle w:val="257"/>
              <w:jc w:val="center"/>
              <w:rPr>
                <w:rStyle w:val="34"/>
                <w:rFonts w:hint="eastAsia" w:ascii="宋体" w:hAnsi="宋体" w:eastAsia="宋体" w:cs="宋体"/>
                <w:b w:val="0"/>
                <w:color w:val="auto"/>
                <w:sz w:val="22"/>
                <w:szCs w:val="22"/>
                <w:highlight w:val="none"/>
              </w:rPr>
            </w:pPr>
            <w:r>
              <w:rPr>
                <w:rStyle w:val="34"/>
                <w:rFonts w:hint="eastAsia" w:ascii="宋体" w:hAnsi="宋体" w:eastAsia="宋体" w:cs="宋体"/>
                <w:b w:val="0"/>
                <w:color w:val="auto"/>
                <w:sz w:val="22"/>
                <w:szCs w:val="22"/>
                <w:highlight w:val="none"/>
              </w:rPr>
              <w:t>序号</w:t>
            </w:r>
          </w:p>
        </w:tc>
        <w:tc>
          <w:tcPr>
            <w:tcW w:w="7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B36FCD">
            <w:pPr>
              <w:pStyle w:val="257"/>
              <w:jc w:val="center"/>
              <w:rPr>
                <w:rStyle w:val="34"/>
                <w:rFonts w:hint="eastAsia" w:ascii="宋体" w:hAnsi="宋体" w:eastAsia="宋体" w:cs="宋体"/>
                <w:b w:val="0"/>
                <w:color w:val="auto"/>
                <w:sz w:val="22"/>
                <w:szCs w:val="22"/>
                <w:highlight w:val="none"/>
              </w:rPr>
            </w:pPr>
            <w:r>
              <w:rPr>
                <w:rStyle w:val="34"/>
                <w:rFonts w:hint="eastAsia" w:ascii="宋体" w:hAnsi="宋体" w:eastAsia="宋体" w:cs="宋体"/>
                <w:b w:val="0"/>
                <w:color w:val="auto"/>
                <w:sz w:val="22"/>
                <w:szCs w:val="22"/>
                <w:highlight w:val="none"/>
              </w:rPr>
              <w:t>评审因素</w:t>
            </w:r>
          </w:p>
        </w:tc>
        <w:tc>
          <w:tcPr>
            <w:tcW w:w="356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14CC7B">
            <w:pPr>
              <w:pStyle w:val="257"/>
              <w:jc w:val="center"/>
              <w:rPr>
                <w:rStyle w:val="34"/>
                <w:rFonts w:hint="eastAsia" w:ascii="宋体" w:hAnsi="宋体" w:eastAsia="宋体" w:cs="宋体"/>
                <w:b w:val="0"/>
                <w:color w:val="auto"/>
                <w:sz w:val="22"/>
                <w:szCs w:val="22"/>
                <w:highlight w:val="none"/>
              </w:rPr>
            </w:pPr>
            <w:r>
              <w:rPr>
                <w:rStyle w:val="34"/>
                <w:rFonts w:hint="eastAsia" w:ascii="宋体" w:hAnsi="宋体" w:eastAsia="宋体" w:cs="宋体"/>
                <w:b w:val="0"/>
                <w:color w:val="auto"/>
                <w:sz w:val="22"/>
                <w:szCs w:val="22"/>
                <w:highlight w:val="none"/>
              </w:rPr>
              <w:t>评审细则</w:t>
            </w:r>
          </w:p>
        </w:tc>
        <w:tc>
          <w:tcPr>
            <w:tcW w:w="37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898EB6F">
            <w:pPr>
              <w:pStyle w:val="257"/>
              <w:jc w:val="center"/>
              <w:rPr>
                <w:rStyle w:val="34"/>
                <w:rFonts w:hint="eastAsia" w:ascii="宋体" w:hAnsi="宋体" w:eastAsia="宋体" w:cs="宋体"/>
                <w:b w:val="0"/>
                <w:color w:val="auto"/>
                <w:sz w:val="22"/>
                <w:szCs w:val="22"/>
                <w:highlight w:val="none"/>
              </w:rPr>
            </w:pPr>
            <w:r>
              <w:rPr>
                <w:rStyle w:val="34"/>
                <w:rFonts w:hint="eastAsia" w:ascii="宋体" w:hAnsi="宋体" w:eastAsia="宋体" w:cs="宋体"/>
                <w:b w:val="0"/>
                <w:color w:val="auto"/>
                <w:sz w:val="22"/>
                <w:szCs w:val="22"/>
                <w:highlight w:val="none"/>
              </w:rPr>
              <w:t>分值</w:t>
            </w:r>
          </w:p>
        </w:tc>
      </w:tr>
      <w:tr w14:paraId="69196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3" w:hRule="atLeast"/>
          <w:jc w:val="center"/>
        </w:trPr>
        <w:tc>
          <w:tcPr>
            <w:tcW w:w="3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0E3D1C">
            <w:pPr>
              <w:pStyle w:val="256"/>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2.1</w:t>
            </w:r>
          </w:p>
        </w:tc>
        <w:tc>
          <w:tcPr>
            <w:tcW w:w="7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35627F">
            <w:pPr>
              <w:pStyle w:val="25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投标人体系认证</w:t>
            </w:r>
          </w:p>
        </w:tc>
        <w:tc>
          <w:tcPr>
            <w:tcW w:w="356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C83094A">
            <w:pPr>
              <w:pStyle w:val="256"/>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投标</w:t>
            </w:r>
            <w:r>
              <w:rPr>
                <w:rFonts w:hint="eastAsia" w:ascii="宋体" w:hAnsi="宋体" w:eastAsia="宋体" w:cs="宋体"/>
                <w:sz w:val="22"/>
                <w:szCs w:val="22"/>
                <w:lang w:eastAsia="zh-CN"/>
              </w:rPr>
              <w:t>供应商</w:t>
            </w:r>
            <w:r>
              <w:rPr>
                <w:rFonts w:hint="eastAsia" w:ascii="宋体" w:hAnsi="宋体" w:eastAsia="宋体" w:cs="宋体"/>
                <w:sz w:val="22"/>
                <w:szCs w:val="22"/>
              </w:rPr>
              <w:t>通过质量管理体系认证、环境管理体系认证、职业健康安全管理体系认证，每</w:t>
            </w:r>
            <w:r>
              <w:rPr>
                <w:rFonts w:hint="eastAsia" w:ascii="宋体" w:hAnsi="宋体" w:eastAsia="宋体" w:cs="宋体"/>
                <w:sz w:val="22"/>
                <w:szCs w:val="22"/>
                <w:lang w:eastAsia="zh-CN"/>
              </w:rPr>
              <w:t>通过</w:t>
            </w:r>
            <w:r>
              <w:rPr>
                <w:rFonts w:hint="eastAsia" w:ascii="宋体" w:hAnsi="宋体" w:eastAsia="宋体" w:cs="宋体"/>
                <w:sz w:val="22"/>
                <w:szCs w:val="22"/>
              </w:rPr>
              <w:t>以上一种认证证书的得2分，最多6分。注：提供相关证书原件扫描件。上述证书需在“全国认证认可信息公共服务平台”中查询状态为“有效”，否则不予给分。</w:t>
            </w:r>
          </w:p>
        </w:tc>
        <w:tc>
          <w:tcPr>
            <w:tcW w:w="37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4FC1D9">
            <w:pPr>
              <w:pStyle w:val="257"/>
              <w:jc w:val="center"/>
              <w:rPr>
                <w:rStyle w:val="34"/>
                <w:rFonts w:hint="default" w:ascii="宋体" w:hAnsi="宋体" w:eastAsia="宋体" w:cs="宋体"/>
                <w:b w:val="0"/>
                <w:color w:val="auto"/>
                <w:sz w:val="22"/>
                <w:szCs w:val="22"/>
                <w:highlight w:val="none"/>
                <w:lang w:val="en-US" w:eastAsia="zh-CN"/>
              </w:rPr>
            </w:pPr>
            <w:r>
              <w:rPr>
                <w:rFonts w:hint="eastAsia" w:ascii="宋体" w:hAnsi="宋体" w:eastAsia="宋体" w:cs="宋体"/>
                <w:sz w:val="22"/>
                <w:szCs w:val="22"/>
              </w:rPr>
              <w:t>6.0</w:t>
            </w:r>
          </w:p>
        </w:tc>
      </w:tr>
      <w:tr w14:paraId="37654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3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4E0455">
            <w:pPr>
              <w:pStyle w:val="256"/>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2.2</w:t>
            </w:r>
          </w:p>
        </w:tc>
        <w:tc>
          <w:tcPr>
            <w:tcW w:w="7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46296F">
            <w:pPr>
              <w:pStyle w:val="25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类似</w:t>
            </w:r>
            <w:r>
              <w:rPr>
                <w:rFonts w:hint="eastAsia" w:ascii="宋体" w:hAnsi="宋体" w:eastAsia="宋体" w:cs="宋体"/>
                <w:sz w:val="22"/>
                <w:szCs w:val="22"/>
                <w:lang w:eastAsia="zh-CN"/>
              </w:rPr>
              <w:t>工程</w:t>
            </w:r>
            <w:r>
              <w:rPr>
                <w:rFonts w:hint="eastAsia" w:ascii="宋体" w:hAnsi="宋体" w:eastAsia="宋体" w:cs="宋体"/>
                <w:sz w:val="22"/>
                <w:szCs w:val="22"/>
              </w:rPr>
              <w:t>业绩</w:t>
            </w:r>
          </w:p>
        </w:tc>
        <w:tc>
          <w:tcPr>
            <w:tcW w:w="356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30814A">
            <w:pPr>
              <w:pStyle w:val="256"/>
              <w:rPr>
                <w:rFonts w:hint="eastAsia" w:ascii="宋体" w:hAnsi="宋体" w:eastAsia="宋体" w:cs="宋体"/>
                <w:sz w:val="22"/>
                <w:szCs w:val="22"/>
                <w:lang w:val="en-US" w:eastAsia="zh-CN"/>
              </w:rPr>
            </w:pPr>
            <w:r>
              <w:rPr>
                <w:rFonts w:hint="eastAsia" w:ascii="宋体" w:hAnsi="宋体" w:eastAsia="宋体" w:cs="宋体"/>
                <w:sz w:val="22"/>
                <w:szCs w:val="22"/>
                <w:lang w:eastAsia="zh-CN"/>
              </w:rPr>
              <w:t>投标供应商自202</w:t>
            </w:r>
            <w:r>
              <w:rPr>
                <w:rFonts w:hint="eastAsia" w:ascii="宋体" w:hAnsi="宋体" w:eastAsia="宋体" w:cs="宋体"/>
                <w:sz w:val="22"/>
                <w:szCs w:val="22"/>
                <w:lang w:val="en-US" w:eastAsia="zh-CN"/>
              </w:rPr>
              <w:t>2</w:t>
            </w:r>
            <w:r>
              <w:rPr>
                <w:rFonts w:hint="eastAsia" w:ascii="宋体" w:hAnsi="宋体" w:eastAsia="宋体" w:cs="宋体"/>
                <w:sz w:val="22"/>
                <w:szCs w:val="22"/>
                <w:lang w:eastAsia="zh-CN"/>
              </w:rPr>
              <w:t>年</w:t>
            </w:r>
            <w:r>
              <w:rPr>
                <w:rFonts w:hint="eastAsia" w:ascii="宋体" w:hAnsi="宋体" w:eastAsia="宋体" w:cs="宋体"/>
                <w:sz w:val="22"/>
                <w:szCs w:val="22"/>
                <w:lang w:val="en-US" w:eastAsia="zh-CN"/>
              </w:rPr>
              <w:t>01</w:t>
            </w:r>
            <w:r>
              <w:rPr>
                <w:rFonts w:hint="eastAsia" w:ascii="宋体" w:hAnsi="宋体" w:eastAsia="宋体" w:cs="宋体"/>
                <w:sz w:val="22"/>
                <w:szCs w:val="22"/>
                <w:lang w:eastAsia="zh-CN"/>
              </w:rPr>
              <w:t>月</w:t>
            </w:r>
            <w:r>
              <w:rPr>
                <w:rFonts w:hint="eastAsia" w:ascii="宋体" w:hAnsi="宋体" w:eastAsia="宋体" w:cs="宋体"/>
                <w:sz w:val="22"/>
                <w:szCs w:val="22"/>
                <w:lang w:val="en-US" w:eastAsia="zh-CN"/>
              </w:rPr>
              <w:t>0</w:t>
            </w:r>
            <w:r>
              <w:rPr>
                <w:rFonts w:hint="eastAsia" w:ascii="宋体" w:hAnsi="宋体" w:eastAsia="宋体" w:cs="宋体"/>
                <w:sz w:val="22"/>
                <w:szCs w:val="22"/>
                <w:lang w:eastAsia="zh-CN"/>
              </w:rPr>
              <w:t>1日（含）至本项目采购公告发布之日前，承担过类似工程施工的（“类似工程业绩”是指项目的主要施工内容、施工工艺等与本项目类似），有一项得</w:t>
            </w:r>
            <w:r>
              <w:rPr>
                <w:rFonts w:hint="eastAsia" w:ascii="宋体" w:hAnsi="宋体" w:eastAsia="宋体" w:cs="宋体"/>
                <w:sz w:val="22"/>
                <w:szCs w:val="22"/>
                <w:lang w:val="en-US" w:eastAsia="zh-CN"/>
              </w:rPr>
              <w:t>2分，最多得6分。</w:t>
            </w:r>
          </w:p>
          <w:p w14:paraId="1D8DACC9">
            <w:pPr>
              <w:pStyle w:val="256"/>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说明：①类似工程以工程竣工验收证明上载明的时间为准；②须提供施工合同、工程竣工验收证明，缺一无效；③以上证明材料需原件扫描件上传，否则不予计分。</w:t>
            </w:r>
          </w:p>
          <w:bookmarkEnd w:id="568"/>
          <w:p w14:paraId="4392F91B">
            <w:pPr>
              <w:pStyle w:val="256"/>
              <w:rPr>
                <w:rFonts w:hint="eastAsia" w:ascii="宋体" w:hAnsi="宋体" w:eastAsia="宋体" w:cs="宋体"/>
                <w:color w:val="auto"/>
                <w:sz w:val="22"/>
                <w:szCs w:val="22"/>
                <w:highlight w:val="none"/>
                <w:lang w:val="en-US" w:eastAsia="zh-CN"/>
              </w:rPr>
            </w:pPr>
          </w:p>
        </w:tc>
        <w:tc>
          <w:tcPr>
            <w:tcW w:w="37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8724C8">
            <w:pPr>
              <w:pStyle w:val="257"/>
              <w:jc w:val="center"/>
              <w:rPr>
                <w:rStyle w:val="34"/>
                <w:rFonts w:hint="default"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6</w:t>
            </w:r>
            <w:r>
              <w:rPr>
                <w:rFonts w:hint="eastAsia" w:ascii="宋体" w:hAnsi="宋体" w:eastAsia="宋体" w:cs="宋体"/>
                <w:sz w:val="22"/>
                <w:szCs w:val="22"/>
              </w:rPr>
              <w:t>.0</w:t>
            </w:r>
          </w:p>
        </w:tc>
      </w:tr>
      <w:tr w14:paraId="2332D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0" w:hRule="atLeast"/>
          <w:jc w:val="center"/>
        </w:trPr>
        <w:tc>
          <w:tcPr>
            <w:tcW w:w="3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882866">
            <w:pPr>
              <w:pStyle w:val="256"/>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2.3</w:t>
            </w:r>
          </w:p>
        </w:tc>
        <w:tc>
          <w:tcPr>
            <w:tcW w:w="7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A10E684">
            <w:pPr>
              <w:pStyle w:val="25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项目人员能力</w:t>
            </w:r>
          </w:p>
        </w:tc>
        <w:tc>
          <w:tcPr>
            <w:tcW w:w="356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9FC2B3">
            <w:pPr>
              <w:pStyle w:val="256"/>
              <w:rPr>
                <w:rFonts w:hint="eastAsia" w:ascii="宋体" w:hAnsi="宋体" w:eastAsia="宋体" w:cs="宋体"/>
                <w:sz w:val="22"/>
                <w:szCs w:val="22"/>
              </w:rPr>
            </w:pPr>
            <w:r>
              <w:rPr>
                <w:rFonts w:hint="eastAsia" w:ascii="宋体" w:hAnsi="宋体" w:eastAsia="宋体" w:cs="宋体"/>
                <w:sz w:val="22"/>
                <w:szCs w:val="22"/>
              </w:rPr>
              <w:t>（1）拟任项目技术负责人须具备工程类专业技术职称：高级及以上职称得</w:t>
            </w:r>
            <w:r>
              <w:rPr>
                <w:rFonts w:hint="eastAsia" w:ascii="宋体" w:hAnsi="宋体" w:eastAsia="宋体" w:cs="宋体"/>
                <w:sz w:val="22"/>
                <w:szCs w:val="22"/>
                <w:lang w:val="en-US" w:eastAsia="zh-CN"/>
              </w:rPr>
              <w:t>3</w:t>
            </w:r>
            <w:r>
              <w:rPr>
                <w:rFonts w:hint="eastAsia" w:ascii="宋体" w:hAnsi="宋体" w:eastAsia="宋体" w:cs="宋体"/>
                <w:sz w:val="22"/>
                <w:szCs w:val="22"/>
              </w:rPr>
              <w:t>分，中级职称得1分，无相应职称不得分。</w:t>
            </w:r>
          </w:p>
          <w:p w14:paraId="3CD12355">
            <w:pPr>
              <w:pStyle w:val="256"/>
              <w:rPr>
                <w:rFonts w:hint="eastAsia" w:ascii="宋体" w:hAnsi="宋体" w:eastAsia="宋体" w:cs="宋体"/>
                <w:sz w:val="22"/>
                <w:szCs w:val="22"/>
              </w:rPr>
            </w:pPr>
            <w:r>
              <w:rPr>
                <w:rFonts w:hint="eastAsia" w:ascii="宋体" w:hAnsi="宋体" w:eastAsia="宋体" w:cs="宋体"/>
                <w:sz w:val="22"/>
                <w:szCs w:val="22"/>
              </w:rPr>
              <w:t>（2）项目其他成员（不含项目技术负责人）中具备工程类专业技术职称：每拥有1名高级及以上技术职称人员得</w:t>
            </w:r>
            <w:r>
              <w:rPr>
                <w:rFonts w:hint="eastAsia" w:ascii="宋体" w:hAnsi="宋体" w:eastAsia="宋体" w:cs="宋体"/>
                <w:sz w:val="22"/>
                <w:szCs w:val="22"/>
                <w:lang w:val="en-US" w:eastAsia="zh-CN"/>
              </w:rPr>
              <w:t>3</w:t>
            </w:r>
            <w:r>
              <w:rPr>
                <w:rFonts w:hint="eastAsia" w:ascii="宋体" w:hAnsi="宋体" w:eastAsia="宋体" w:cs="宋体"/>
                <w:sz w:val="22"/>
                <w:szCs w:val="22"/>
              </w:rPr>
              <w:t>分，此项最高</w:t>
            </w:r>
            <w:r>
              <w:rPr>
                <w:rFonts w:hint="eastAsia" w:ascii="宋体" w:hAnsi="宋体" w:eastAsia="宋体" w:cs="宋体"/>
                <w:sz w:val="22"/>
                <w:szCs w:val="22"/>
                <w:lang w:val="en-US" w:eastAsia="zh-CN"/>
              </w:rPr>
              <w:t>3</w:t>
            </w:r>
            <w:r>
              <w:rPr>
                <w:rFonts w:hint="eastAsia" w:ascii="宋体" w:hAnsi="宋体" w:eastAsia="宋体" w:cs="宋体"/>
                <w:sz w:val="22"/>
                <w:szCs w:val="22"/>
              </w:rPr>
              <w:t>分；每拥有1名中级及以上技术职称人员得1分，此项最高</w:t>
            </w:r>
            <w:r>
              <w:rPr>
                <w:rFonts w:hint="eastAsia" w:ascii="宋体" w:hAnsi="宋体" w:eastAsia="宋体" w:cs="宋体"/>
                <w:sz w:val="22"/>
                <w:szCs w:val="22"/>
                <w:lang w:val="en-US" w:eastAsia="zh-CN"/>
              </w:rPr>
              <w:t>3</w:t>
            </w:r>
            <w:r>
              <w:rPr>
                <w:rFonts w:hint="eastAsia" w:ascii="宋体" w:hAnsi="宋体" w:eastAsia="宋体" w:cs="宋体"/>
                <w:sz w:val="22"/>
                <w:szCs w:val="22"/>
              </w:rPr>
              <w:t>分。本项合计最高得分</w:t>
            </w:r>
            <w:r>
              <w:rPr>
                <w:rFonts w:hint="eastAsia" w:ascii="宋体" w:hAnsi="宋体" w:eastAsia="宋体" w:cs="宋体"/>
                <w:sz w:val="22"/>
                <w:szCs w:val="22"/>
                <w:lang w:val="en-US" w:eastAsia="zh-CN"/>
              </w:rPr>
              <w:t>6</w:t>
            </w:r>
            <w:r>
              <w:rPr>
                <w:rFonts w:hint="eastAsia" w:ascii="宋体" w:hAnsi="宋体" w:eastAsia="宋体" w:cs="宋体"/>
                <w:sz w:val="22"/>
                <w:szCs w:val="22"/>
              </w:rPr>
              <w:t>分。</w:t>
            </w:r>
          </w:p>
          <w:p w14:paraId="71DBAAB1">
            <w:pPr>
              <w:pStyle w:val="256"/>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注：项目负责人与技术负责人不能为同一人，否则仅按一人计分，同一人的证书按照最高分计取；提供职称证书原件扫描件以及投标人为其缴纳的</w:t>
            </w:r>
            <w:r>
              <w:rPr>
                <w:rFonts w:hint="eastAsia" w:ascii="宋体" w:hAnsi="宋体" w:eastAsia="宋体" w:cs="宋体"/>
                <w:sz w:val="22"/>
                <w:szCs w:val="22"/>
                <w:lang w:eastAsia="zh-CN"/>
              </w:rPr>
              <w:t>最近一个月</w:t>
            </w:r>
            <w:r>
              <w:rPr>
                <w:rFonts w:hint="eastAsia" w:ascii="宋体" w:hAnsi="宋体" w:eastAsia="宋体" w:cs="宋体"/>
                <w:sz w:val="22"/>
                <w:szCs w:val="22"/>
              </w:rPr>
              <w:t xml:space="preserve">的社保证明材料。 </w:t>
            </w:r>
          </w:p>
        </w:tc>
        <w:tc>
          <w:tcPr>
            <w:tcW w:w="37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DD536C">
            <w:pPr>
              <w:pStyle w:val="257"/>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9</w:t>
            </w:r>
            <w:r>
              <w:rPr>
                <w:rFonts w:hint="eastAsia" w:ascii="宋体" w:hAnsi="宋体" w:eastAsia="宋体" w:cs="宋体"/>
                <w:sz w:val="22"/>
                <w:szCs w:val="22"/>
              </w:rPr>
              <w:t>.0</w:t>
            </w:r>
          </w:p>
        </w:tc>
      </w:tr>
      <w:tr w14:paraId="46F42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3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E840A3">
            <w:pPr>
              <w:pStyle w:val="256"/>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2.4</w:t>
            </w:r>
          </w:p>
        </w:tc>
        <w:tc>
          <w:tcPr>
            <w:tcW w:w="7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2A999EE">
            <w:pPr>
              <w:pStyle w:val="25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企业荣誉</w:t>
            </w:r>
          </w:p>
        </w:tc>
        <w:tc>
          <w:tcPr>
            <w:tcW w:w="356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DDD47F">
            <w:pPr>
              <w:rPr>
                <w:rFonts w:hint="default" w:ascii="宋体" w:hAnsi="宋体" w:cs="宋体"/>
                <w:sz w:val="22"/>
                <w:szCs w:val="22"/>
                <w:lang w:val="en-US" w:eastAsia="zh-CN"/>
              </w:rPr>
            </w:pPr>
            <w:r>
              <w:rPr>
                <w:rFonts w:hint="eastAsia" w:ascii="宋体" w:hAnsi="宋体" w:cs="宋体"/>
                <w:sz w:val="22"/>
                <w:szCs w:val="22"/>
                <w:lang w:eastAsia="zh-CN"/>
              </w:rPr>
              <w:t>自</w:t>
            </w:r>
            <w:r>
              <w:rPr>
                <w:rFonts w:hint="eastAsia" w:ascii="宋体" w:hAnsi="宋体" w:cs="宋体"/>
                <w:sz w:val="22"/>
                <w:szCs w:val="22"/>
              </w:rPr>
              <w:t>202</w:t>
            </w:r>
            <w:r>
              <w:rPr>
                <w:rFonts w:hint="eastAsia" w:ascii="宋体" w:hAnsi="宋体" w:cs="宋体"/>
                <w:sz w:val="22"/>
                <w:szCs w:val="22"/>
                <w:lang w:val="en-US" w:eastAsia="zh-CN"/>
              </w:rPr>
              <w:t>0</w:t>
            </w:r>
            <w:r>
              <w:rPr>
                <w:rFonts w:hint="eastAsia" w:ascii="宋体" w:hAnsi="宋体" w:cs="宋体"/>
                <w:sz w:val="22"/>
                <w:szCs w:val="22"/>
              </w:rPr>
              <w:t>年</w:t>
            </w:r>
            <w:r>
              <w:rPr>
                <w:rFonts w:hint="eastAsia" w:ascii="宋体" w:hAnsi="宋体" w:cs="宋体"/>
                <w:sz w:val="22"/>
                <w:szCs w:val="22"/>
                <w:lang w:val="en-US" w:eastAsia="zh-CN"/>
              </w:rPr>
              <w:t>1</w:t>
            </w:r>
            <w:r>
              <w:rPr>
                <w:rFonts w:hint="eastAsia" w:ascii="宋体" w:hAnsi="宋体" w:cs="宋体"/>
                <w:sz w:val="22"/>
                <w:szCs w:val="22"/>
              </w:rPr>
              <w:t>月1日</w:t>
            </w:r>
            <w:r>
              <w:rPr>
                <w:rFonts w:hint="eastAsia" w:ascii="宋体" w:hAnsi="宋体" w:cs="宋体"/>
                <w:sz w:val="22"/>
                <w:szCs w:val="22"/>
                <w:lang w:eastAsia="zh-CN"/>
              </w:rPr>
              <w:t>起，</w:t>
            </w:r>
            <w:r>
              <w:rPr>
                <w:rFonts w:hint="eastAsia" w:ascii="宋体" w:hAnsi="宋体" w:cs="宋体"/>
                <w:sz w:val="22"/>
                <w:szCs w:val="22"/>
              </w:rPr>
              <w:t>投标人承建的工程项目获得</w:t>
            </w:r>
            <w:r>
              <w:rPr>
                <w:rFonts w:hint="eastAsia" w:ascii="宋体" w:hAnsi="宋体" w:cs="宋体"/>
                <w:sz w:val="22"/>
                <w:szCs w:val="22"/>
                <w:lang w:eastAsia="zh-CN"/>
              </w:rPr>
              <w:t>省辖市级及以上行政管理部门评优表彰的，每项计</w:t>
            </w:r>
            <w:r>
              <w:rPr>
                <w:rFonts w:hint="eastAsia" w:ascii="宋体" w:hAnsi="宋体" w:cs="宋体"/>
                <w:sz w:val="22"/>
                <w:szCs w:val="22"/>
                <w:lang w:val="en-US" w:eastAsia="zh-CN"/>
              </w:rPr>
              <w:t>2分，本项满分4分。</w:t>
            </w:r>
          </w:p>
          <w:p w14:paraId="63A52AFB">
            <w:pPr>
              <w:pStyle w:val="256"/>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注：时间以获奖证书或文件注明为准，须提供有效的获奖证书或文件，原件扫描件上传，否则不予计分。</w:t>
            </w:r>
          </w:p>
        </w:tc>
        <w:tc>
          <w:tcPr>
            <w:tcW w:w="37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E4454B">
            <w:pPr>
              <w:pStyle w:val="257"/>
              <w:jc w:val="center"/>
              <w:rPr>
                <w:rStyle w:val="34"/>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lang w:val="en-US" w:eastAsia="zh-CN"/>
              </w:rPr>
              <w:t>4</w:t>
            </w:r>
            <w:r>
              <w:rPr>
                <w:rFonts w:hint="eastAsia" w:ascii="宋体" w:hAnsi="宋体" w:eastAsia="宋体" w:cs="宋体"/>
                <w:sz w:val="22"/>
                <w:szCs w:val="22"/>
              </w:rPr>
              <w:t>.0</w:t>
            </w:r>
          </w:p>
        </w:tc>
      </w:tr>
    </w:tbl>
    <w:p w14:paraId="7BD9A7A6">
      <w:pPr>
        <w:keepNext w:val="0"/>
        <w:keepLines w:val="0"/>
        <w:pageBreakBefore w:val="0"/>
        <w:widowControl w:val="0"/>
        <w:spacing w:before="240" w:after="240"/>
        <w:rPr>
          <w:rFonts w:hint="eastAsia" w:ascii="宋体" w:hAnsi="宋体"/>
          <w:b/>
          <w:color w:val="auto"/>
          <w:sz w:val="24"/>
          <w:highlight w:val="none"/>
          <w:lang w:eastAsia="zh-CN"/>
        </w:rPr>
      </w:pPr>
      <w:r>
        <w:rPr>
          <w:rFonts w:hint="eastAsia" w:ascii="宋体" w:hAnsi="宋体"/>
          <w:b/>
          <w:color w:val="auto"/>
          <w:sz w:val="24"/>
          <w:highlight w:val="none"/>
          <w:lang w:eastAsia="zh-CN"/>
        </w:rPr>
        <w:t>（三）价格评估</w:t>
      </w:r>
    </w:p>
    <w:tbl>
      <w:tblPr>
        <w:tblStyle w:val="32"/>
        <w:tblW w:w="53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684"/>
        <w:gridCol w:w="1478"/>
        <w:gridCol w:w="7299"/>
        <w:gridCol w:w="709"/>
      </w:tblGrid>
      <w:tr w14:paraId="51482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84" w:type="dxa"/>
            <w:noWrap w:val="0"/>
            <w:tcMar>
              <w:top w:w="100" w:type="dxa"/>
              <w:bottom w:w="100" w:type="dxa"/>
            </w:tcMar>
            <w:vAlign w:val="center"/>
          </w:tcPr>
          <w:p w14:paraId="24218ED1">
            <w:pPr>
              <w:pStyle w:val="253"/>
              <w:jc w:val="center"/>
              <w:rPr>
                <w:rStyle w:val="192"/>
                <w:rFonts w:ascii="宋体" w:hAnsi="宋体" w:eastAsia="宋体" w:cs="宋体"/>
                <w:b w:val="0"/>
                <w:color w:val="auto"/>
                <w:sz w:val="22"/>
                <w:szCs w:val="22"/>
                <w:highlight w:val="none"/>
              </w:rPr>
            </w:pPr>
            <w:bookmarkStart w:id="569" w:name="EB00ed059341e447b48aa4c095e09e7fc2"/>
            <w:r>
              <w:rPr>
                <w:rStyle w:val="192"/>
                <w:rFonts w:ascii="宋体" w:hAnsi="宋体" w:eastAsia="宋体" w:cs="宋体"/>
                <w:b w:val="0"/>
                <w:color w:val="auto"/>
                <w:sz w:val="22"/>
                <w:szCs w:val="22"/>
                <w:highlight w:val="none"/>
              </w:rPr>
              <w:t>序号</w:t>
            </w:r>
          </w:p>
        </w:tc>
        <w:tc>
          <w:tcPr>
            <w:tcW w:w="1478" w:type="dxa"/>
            <w:noWrap w:val="0"/>
            <w:tcMar>
              <w:top w:w="100" w:type="dxa"/>
              <w:bottom w:w="100" w:type="dxa"/>
            </w:tcMar>
            <w:vAlign w:val="center"/>
          </w:tcPr>
          <w:p w14:paraId="65BF0D20">
            <w:pPr>
              <w:pStyle w:val="253"/>
              <w:jc w:val="center"/>
              <w:rPr>
                <w:rStyle w:val="192"/>
                <w:rFonts w:ascii="宋体" w:hAnsi="宋体" w:eastAsia="宋体" w:cs="宋体"/>
                <w:b w:val="0"/>
                <w:color w:val="auto"/>
                <w:sz w:val="22"/>
                <w:szCs w:val="22"/>
                <w:highlight w:val="none"/>
              </w:rPr>
            </w:pPr>
            <w:r>
              <w:rPr>
                <w:rStyle w:val="192"/>
                <w:rFonts w:ascii="宋体" w:hAnsi="宋体" w:eastAsia="宋体" w:cs="宋体"/>
                <w:b w:val="0"/>
                <w:color w:val="auto"/>
                <w:sz w:val="22"/>
                <w:szCs w:val="22"/>
                <w:highlight w:val="none"/>
              </w:rPr>
              <w:t>评审因素</w:t>
            </w:r>
          </w:p>
        </w:tc>
        <w:tc>
          <w:tcPr>
            <w:tcW w:w="7301" w:type="dxa"/>
            <w:noWrap w:val="0"/>
            <w:tcMar>
              <w:top w:w="100" w:type="dxa"/>
              <w:bottom w:w="100" w:type="dxa"/>
            </w:tcMar>
            <w:vAlign w:val="center"/>
          </w:tcPr>
          <w:p w14:paraId="5032B961">
            <w:pPr>
              <w:pStyle w:val="253"/>
              <w:jc w:val="center"/>
              <w:rPr>
                <w:rStyle w:val="192"/>
                <w:rFonts w:ascii="宋体" w:hAnsi="宋体" w:eastAsia="宋体" w:cs="宋体"/>
                <w:b w:val="0"/>
                <w:color w:val="auto"/>
                <w:sz w:val="22"/>
                <w:szCs w:val="22"/>
                <w:highlight w:val="none"/>
              </w:rPr>
            </w:pPr>
            <w:r>
              <w:rPr>
                <w:rStyle w:val="192"/>
                <w:rFonts w:ascii="宋体" w:hAnsi="宋体" w:eastAsia="宋体" w:cs="宋体"/>
                <w:b w:val="0"/>
                <w:color w:val="auto"/>
                <w:sz w:val="22"/>
                <w:szCs w:val="22"/>
                <w:highlight w:val="none"/>
              </w:rPr>
              <w:t>评审细则</w:t>
            </w:r>
          </w:p>
        </w:tc>
        <w:tc>
          <w:tcPr>
            <w:tcW w:w="709" w:type="dxa"/>
            <w:noWrap w:val="0"/>
            <w:tcMar>
              <w:top w:w="100" w:type="dxa"/>
              <w:bottom w:w="100" w:type="dxa"/>
            </w:tcMar>
            <w:vAlign w:val="center"/>
          </w:tcPr>
          <w:p w14:paraId="595BD47A">
            <w:pPr>
              <w:pStyle w:val="253"/>
              <w:jc w:val="center"/>
              <w:rPr>
                <w:rStyle w:val="192"/>
                <w:rFonts w:ascii="宋体" w:hAnsi="宋体" w:eastAsia="宋体" w:cs="宋体"/>
                <w:b w:val="0"/>
                <w:color w:val="auto"/>
                <w:sz w:val="22"/>
                <w:szCs w:val="22"/>
                <w:highlight w:val="none"/>
              </w:rPr>
            </w:pPr>
            <w:r>
              <w:rPr>
                <w:rStyle w:val="192"/>
                <w:rFonts w:ascii="宋体" w:hAnsi="宋体" w:eastAsia="宋体" w:cs="宋体"/>
                <w:b w:val="0"/>
                <w:color w:val="auto"/>
                <w:sz w:val="22"/>
                <w:szCs w:val="22"/>
                <w:highlight w:val="none"/>
              </w:rPr>
              <w:t>分值</w:t>
            </w:r>
          </w:p>
        </w:tc>
      </w:tr>
      <w:tr w14:paraId="30E7B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792" w:hRule="atLeast"/>
          <w:jc w:val="center"/>
        </w:trPr>
        <w:tc>
          <w:tcPr>
            <w:tcW w:w="684" w:type="dxa"/>
            <w:noWrap w:val="0"/>
            <w:tcMar>
              <w:top w:w="100" w:type="dxa"/>
              <w:bottom w:w="100" w:type="dxa"/>
            </w:tcMar>
            <w:vAlign w:val="center"/>
          </w:tcPr>
          <w:p w14:paraId="4FF9E044">
            <w:pPr>
              <w:pStyle w:val="253"/>
              <w:jc w:val="center"/>
              <w:rPr>
                <w:rStyle w:val="192"/>
                <w:rFonts w:ascii="宋体" w:hAnsi="宋体" w:eastAsia="宋体" w:cs="宋体"/>
                <w:b w:val="0"/>
                <w:color w:val="auto"/>
                <w:sz w:val="22"/>
                <w:szCs w:val="22"/>
                <w:highlight w:val="none"/>
              </w:rPr>
            </w:pPr>
            <w:r>
              <w:rPr>
                <w:rStyle w:val="192"/>
                <w:rFonts w:hint="eastAsia" w:ascii="宋体" w:hAnsi="宋体" w:eastAsia="宋体" w:cs="宋体"/>
                <w:b w:val="0"/>
                <w:color w:val="auto"/>
                <w:sz w:val="22"/>
                <w:szCs w:val="22"/>
                <w:highlight w:val="none"/>
                <w:lang w:val="en-US" w:eastAsia="zh-CN"/>
              </w:rPr>
              <w:t>3</w:t>
            </w:r>
            <w:r>
              <w:rPr>
                <w:rStyle w:val="192"/>
                <w:rFonts w:ascii="宋体" w:hAnsi="宋体" w:eastAsia="宋体" w:cs="宋体"/>
                <w:b w:val="0"/>
                <w:color w:val="auto"/>
                <w:sz w:val="22"/>
                <w:szCs w:val="22"/>
                <w:highlight w:val="none"/>
              </w:rPr>
              <w:t>.1</w:t>
            </w:r>
          </w:p>
        </w:tc>
        <w:tc>
          <w:tcPr>
            <w:tcW w:w="1478" w:type="dxa"/>
            <w:noWrap w:val="0"/>
            <w:tcMar>
              <w:top w:w="100" w:type="dxa"/>
              <w:bottom w:w="100" w:type="dxa"/>
            </w:tcMar>
            <w:vAlign w:val="center"/>
          </w:tcPr>
          <w:p w14:paraId="7E7E85B6">
            <w:pPr>
              <w:pStyle w:val="253"/>
              <w:jc w:val="center"/>
              <w:rPr>
                <w:rStyle w:val="192"/>
                <w:rFonts w:ascii="宋体" w:hAnsi="宋体" w:eastAsia="宋体" w:cs="宋体"/>
                <w:b w:val="0"/>
                <w:color w:val="auto"/>
                <w:sz w:val="22"/>
                <w:szCs w:val="22"/>
                <w:highlight w:val="none"/>
              </w:rPr>
            </w:pPr>
            <w:r>
              <w:rPr>
                <w:rStyle w:val="192"/>
                <w:rFonts w:ascii="宋体" w:hAnsi="宋体" w:eastAsia="宋体" w:cs="宋体"/>
                <w:b w:val="0"/>
                <w:color w:val="auto"/>
                <w:sz w:val="22"/>
                <w:szCs w:val="22"/>
                <w:highlight w:val="none"/>
              </w:rPr>
              <w:t>报价得分</w:t>
            </w:r>
          </w:p>
        </w:tc>
        <w:tc>
          <w:tcPr>
            <w:tcW w:w="7301" w:type="dxa"/>
            <w:noWrap w:val="0"/>
            <w:tcMar>
              <w:top w:w="100" w:type="dxa"/>
              <w:bottom w:w="100" w:type="dxa"/>
            </w:tcMar>
            <w:vAlign w:val="center"/>
          </w:tcPr>
          <w:p w14:paraId="1F6F3F6E">
            <w:pPr>
              <w:pStyle w:val="253"/>
              <w:jc w:val="left"/>
              <w:rPr>
                <w:rStyle w:val="192"/>
                <w:rFonts w:ascii="宋体" w:hAnsi="宋体" w:eastAsia="宋体" w:cs="宋体"/>
                <w:b w:val="0"/>
                <w:color w:val="auto"/>
                <w:sz w:val="22"/>
                <w:szCs w:val="22"/>
                <w:highlight w:val="none"/>
              </w:rPr>
            </w:pPr>
            <w:r>
              <w:rPr>
                <w:rStyle w:val="34"/>
                <w:rFonts w:ascii="宋体" w:hAnsi="宋体" w:eastAsia="宋体" w:cs="宋体"/>
                <w:b w:val="0"/>
                <w:sz w:val="21"/>
                <w:szCs w:val="24"/>
              </w:rPr>
              <w:t>价格分采用低价优先法计算，即</w:t>
            </w:r>
            <w:r>
              <w:rPr>
                <w:rStyle w:val="192"/>
                <w:rFonts w:ascii="宋体" w:hAnsi="宋体" w:eastAsia="宋体" w:cs="宋体"/>
                <w:b w:val="0"/>
                <w:color w:val="auto"/>
                <w:sz w:val="22"/>
                <w:szCs w:val="22"/>
                <w:highlight w:val="none"/>
              </w:rPr>
              <w:t>满足</w:t>
            </w:r>
            <w:r>
              <w:rPr>
                <w:rStyle w:val="192"/>
                <w:rFonts w:hint="eastAsia" w:ascii="宋体" w:hAnsi="宋体" w:eastAsia="宋体" w:cs="宋体"/>
                <w:b w:val="0"/>
                <w:color w:val="auto"/>
                <w:sz w:val="22"/>
                <w:szCs w:val="22"/>
                <w:highlight w:val="none"/>
                <w:lang w:eastAsia="zh-CN"/>
              </w:rPr>
              <w:t>采购</w:t>
            </w:r>
            <w:r>
              <w:rPr>
                <w:rStyle w:val="192"/>
                <w:rFonts w:ascii="宋体" w:hAnsi="宋体" w:eastAsia="宋体" w:cs="宋体"/>
                <w:b w:val="0"/>
                <w:color w:val="auto"/>
                <w:sz w:val="22"/>
                <w:szCs w:val="22"/>
                <w:highlight w:val="none"/>
              </w:rPr>
              <w:t>文件要求且投标价格最低的投标报价为评定的基准价，其价格分为满分</w:t>
            </w:r>
            <w:r>
              <w:rPr>
                <w:rStyle w:val="192"/>
                <w:rFonts w:hint="eastAsia" w:ascii="宋体" w:hAnsi="宋体" w:eastAsia="宋体" w:cs="宋体"/>
                <w:b w:val="0"/>
                <w:color w:val="auto"/>
                <w:sz w:val="22"/>
                <w:szCs w:val="22"/>
                <w:highlight w:val="none"/>
                <w:lang w:val="en-US" w:eastAsia="zh-CN"/>
              </w:rPr>
              <w:t>20分</w:t>
            </w:r>
            <w:r>
              <w:rPr>
                <w:rStyle w:val="192"/>
                <w:rFonts w:ascii="宋体" w:hAnsi="宋体" w:eastAsia="宋体" w:cs="宋体"/>
                <w:b w:val="0"/>
                <w:color w:val="auto"/>
                <w:sz w:val="22"/>
                <w:szCs w:val="22"/>
                <w:highlight w:val="none"/>
              </w:rPr>
              <w:t>。其他投标人的价格分统一按照下列公式计算：</w:t>
            </w:r>
            <w:r>
              <w:rPr>
                <w:rStyle w:val="192"/>
                <w:rFonts w:hint="eastAsia" w:ascii="宋体" w:hAnsi="宋体" w:eastAsia="宋体" w:cs="宋体"/>
                <w:b w:val="0"/>
                <w:color w:val="auto"/>
                <w:sz w:val="22"/>
                <w:szCs w:val="22"/>
                <w:highlight w:val="none"/>
                <w:lang w:eastAsia="zh-CN"/>
              </w:rPr>
              <w:t>投标</w:t>
            </w:r>
            <w:bookmarkStart w:id="648" w:name="_GoBack"/>
            <w:bookmarkEnd w:id="648"/>
            <w:r>
              <w:rPr>
                <w:rStyle w:val="192"/>
                <w:rFonts w:ascii="宋体" w:hAnsi="宋体" w:eastAsia="宋体" w:cs="宋体"/>
                <w:b w:val="0"/>
                <w:color w:val="auto"/>
                <w:sz w:val="22"/>
                <w:szCs w:val="22"/>
                <w:highlight w:val="none"/>
              </w:rPr>
              <w:t>报价得分=（评分基准价/投标报价）×</w:t>
            </w:r>
            <w:r>
              <w:rPr>
                <w:rStyle w:val="192"/>
                <w:rFonts w:hint="eastAsia" w:ascii="宋体" w:hAnsi="宋体" w:eastAsia="宋体" w:cs="宋体"/>
                <w:b w:val="0"/>
                <w:color w:val="auto"/>
                <w:sz w:val="22"/>
                <w:szCs w:val="22"/>
                <w:highlight w:val="none"/>
                <w:lang w:val="en-US" w:eastAsia="zh-CN"/>
              </w:rPr>
              <w:t>20</w:t>
            </w:r>
            <w:r>
              <w:rPr>
                <w:rStyle w:val="192"/>
                <w:rFonts w:ascii="宋体" w:hAnsi="宋体" w:eastAsia="宋体" w:cs="宋体"/>
                <w:b w:val="0"/>
                <w:color w:val="auto"/>
                <w:sz w:val="22"/>
                <w:szCs w:val="22"/>
                <w:highlight w:val="none"/>
              </w:rPr>
              <w:t>分</w:t>
            </w:r>
            <w:bookmarkEnd w:id="569"/>
            <w:r>
              <w:rPr>
                <w:rStyle w:val="34"/>
                <w:rFonts w:ascii="宋体" w:hAnsi="宋体" w:eastAsia="宋体" w:cs="宋体"/>
                <w:b w:val="0"/>
                <w:sz w:val="21"/>
                <w:szCs w:val="24"/>
              </w:rPr>
              <w:t>(计算结果四舍五入保留两位小数）</w:t>
            </w:r>
          </w:p>
        </w:tc>
        <w:tc>
          <w:tcPr>
            <w:tcW w:w="709" w:type="dxa"/>
            <w:noWrap w:val="0"/>
            <w:tcMar>
              <w:top w:w="100" w:type="dxa"/>
              <w:bottom w:w="100" w:type="dxa"/>
            </w:tcMar>
            <w:vAlign w:val="center"/>
          </w:tcPr>
          <w:p w14:paraId="7F052125">
            <w:pPr>
              <w:pStyle w:val="253"/>
              <w:jc w:val="center"/>
              <w:rPr>
                <w:rStyle w:val="192"/>
                <w:rFonts w:hint="default" w:ascii="宋体" w:hAnsi="宋体" w:eastAsia="宋体" w:cs="宋体"/>
                <w:b w:val="0"/>
                <w:color w:val="auto"/>
                <w:sz w:val="22"/>
                <w:szCs w:val="22"/>
                <w:highlight w:val="none"/>
                <w:lang w:val="en-US"/>
              </w:rPr>
            </w:pPr>
            <w:r>
              <w:rPr>
                <w:rStyle w:val="192"/>
                <w:rFonts w:hint="eastAsia" w:ascii="宋体" w:hAnsi="宋体" w:eastAsia="宋体" w:cs="宋体"/>
                <w:b w:val="0"/>
                <w:color w:val="auto"/>
                <w:sz w:val="22"/>
                <w:szCs w:val="22"/>
                <w:highlight w:val="none"/>
                <w:lang w:val="en-US" w:eastAsia="zh-CN"/>
              </w:rPr>
              <w:t>20.0</w:t>
            </w:r>
          </w:p>
        </w:tc>
      </w:tr>
    </w:tbl>
    <w:p w14:paraId="22AC551A">
      <w:pPr>
        <w:pStyle w:val="189"/>
        <w:spacing w:line="400" w:lineRule="exact"/>
        <w:ind w:firstLine="321"/>
        <w:jc w:val="left"/>
        <w:rPr>
          <w:rFonts w:ascii="宋体" w:hAnsi="宋体" w:eastAsia="宋体"/>
          <w:color w:val="auto"/>
          <w:sz w:val="32"/>
          <w:highlight w:val="none"/>
        </w:rPr>
      </w:pPr>
      <w:bookmarkStart w:id="570" w:name="_Toc73364907"/>
      <w:bookmarkStart w:id="571" w:name="_Toc73365520"/>
      <w:bookmarkStart w:id="572" w:name="_Toc25949"/>
      <w:r>
        <w:rPr>
          <w:rFonts w:hint="eastAsia" w:ascii="宋体" w:hAnsi="宋体" w:eastAsia="宋体"/>
          <w:color w:val="auto"/>
          <w:sz w:val="32"/>
          <w:highlight w:val="none"/>
        </w:rPr>
        <w:t>7．推荐成交供应商</w:t>
      </w:r>
      <w:bookmarkEnd w:id="570"/>
      <w:bookmarkEnd w:id="571"/>
      <w:bookmarkEnd w:id="572"/>
    </w:p>
    <w:p w14:paraId="46B71E87">
      <w:pPr>
        <w:spacing w:line="360" w:lineRule="auto"/>
        <w:ind w:firstLine="480"/>
        <w:rPr>
          <w:rFonts w:hint="eastAsia" w:ascii="宋体" w:hAnsi="宋体"/>
          <w:color w:val="auto"/>
          <w:sz w:val="24"/>
          <w:highlight w:val="none"/>
        </w:rPr>
      </w:pPr>
      <w:bookmarkStart w:id="573" w:name="EBf60c0b78baae4cd4941a83c86b937dfd"/>
      <w:r>
        <w:rPr>
          <w:rFonts w:hint="eastAsia" w:ascii="宋体" w:hAnsi="宋体"/>
          <w:color w:val="auto"/>
          <w:sz w:val="24"/>
          <w:highlight w:val="none"/>
        </w:rPr>
        <w:t>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573"/>
      <w:r>
        <w:rPr>
          <w:rFonts w:hint="eastAsia" w:ascii="宋体" w:hAnsi="宋体"/>
          <w:color w:val="auto"/>
          <w:sz w:val="24"/>
          <w:highlight w:val="none"/>
        </w:rPr>
        <w:t>采购人授权评标委员会直接确定中标候选人排序第一的为中标人。</w:t>
      </w:r>
    </w:p>
    <w:p w14:paraId="200B6640">
      <w:pPr>
        <w:rPr>
          <w:color w:val="auto"/>
          <w:highlight w:val="none"/>
        </w:rPr>
      </w:pPr>
      <w:bookmarkStart w:id="574" w:name="EB33162866c0454b07a982cbc9df098632"/>
      <w:r>
        <w:rPr>
          <w:rFonts w:hint="eastAsia"/>
          <w:color w:val="auto"/>
          <w:sz w:val="20"/>
          <w:highlight w:val="none"/>
        </w:rPr>
        <w:t xml:space="preserve"> </w:t>
      </w:r>
      <w:bookmarkEnd w:id="574"/>
    </w:p>
    <w:p w14:paraId="28388639">
      <w:pPr>
        <w:pStyle w:val="190"/>
        <w:keepNext w:val="0"/>
        <w:keepLines w:val="0"/>
        <w:spacing w:before="200" w:after="200" w:line="360" w:lineRule="auto"/>
        <w:jc w:val="center"/>
        <w:rPr>
          <w:rFonts w:ascii="宋体" w:hAnsi="宋体"/>
          <w:color w:val="auto"/>
          <w:sz w:val="32"/>
          <w:highlight w:val="none"/>
        </w:rPr>
      </w:pPr>
      <w:r>
        <w:rPr>
          <w:rFonts w:ascii="宋体" w:hAnsi="宋体"/>
          <w:i/>
          <w:color w:val="auto"/>
          <w:highlight w:val="none"/>
        </w:rPr>
        <w:br w:type="page" w:clear="all"/>
      </w:r>
      <w:bookmarkStart w:id="575" w:name="_Toc73365521"/>
      <w:bookmarkStart w:id="576" w:name="_Toc73364908"/>
      <w:bookmarkStart w:id="577" w:name="_Toc5621"/>
      <w:r>
        <w:rPr>
          <w:rFonts w:hint="eastAsia" w:ascii="宋体" w:hAnsi="宋体"/>
          <w:color w:val="auto"/>
          <w:sz w:val="32"/>
          <w:highlight w:val="none"/>
        </w:rPr>
        <w:t>第六部分  磋商响应文件（格式）</w:t>
      </w:r>
      <w:bookmarkEnd w:id="575"/>
      <w:bookmarkEnd w:id="576"/>
      <w:bookmarkEnd w:id="577"/>
    </w:p>
    <w:p w14:paraId="279401B4">
      <w:pPr>
        <w:rPr>
          <w:color w:val="auto"/>
          <w:highlight w:val="none"/>
        </w:rPr>
      </w:pPr>
    </w:p>
    <w:p w14:paraId="459798EA">
      <w:pPr>
        <w:pStyle w:val="259"/>
        <w:rPr>
          <w:rStyle w:val="192"/>
          <w:rFonts w:ascii="Times New Roman" w:hAnsi="Times New Roman" w:eastAsia="Times New Roman" w:cs="Times New Roman"/>
          <w:color w:val="auto"/>
          <w:highlight w:val="none"/>
        </w:rPr>
      </w:pPr>
      <w:r>
        <w:rPr>
          <w:rStyle w:val="192"/>
          <w:rFonts w:ascii="宋体" w:hAnsi="宋体" w:eastAsia="宋体" w:cs="宋体"/>
          <w:color w:val="auto"/>
          <w:highlight w:val="none"/>
        </w:rPr>
        <w:t xml:space="preserve">﻿ </w:t>
      </w:r>
    </w:p>
    <w:p w14:paraId="5CD6A2F9">
      <w:pPr>
        <w:pStyle w:val="259"/>
        <w:spacing w:before="540" w:after="540"/>
        <w:jc w:val="center"/>
        <w:rPr>
          <w:rStyle w:val="192"/>
          <w:rFonts w:ascii="宋体" w:hAnsi="宋体" w:eastAsia="宋体" w:cs="宋体"/>
          <w:b/>
          <w:bCs/>
          <w:color w:val="auto"/>
          <w:sz w:val="54"/>
          <w:szCs w:val="54"/>
          <w:highlight w:val="none"/>
        </w:rPr>
      </w:pPr>
      <w:r>
        <w:rPr>
          <w:rStyle w:val="192"/>
          <w:rFonts w:ascii="宋体" w:hAnsi="宋体" w:eastAsia="宋体" w:cs="宋体"/>
          <w:b/>
          <w:bCs/>
          <w:color w:val="auto"/>
          <w:sz w:val="54"/>
          <w:szCs w:val="54"/>
          <w:highlight w:val="none"/>
        </w:rPr>
        <w:t>磋 商 响 应 文 件</w:t>
      </w:r>
    </w:p>
    <w:p w14:paraId="7A75A909">
      <w:pPr>
        <w:pStyle w:val="259"/>
        <w:spacing w:before="240" w:after="24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 </w:t>
      </w:r>
    </w:p>
    <w:p w14:paraId="6B0E9E16">
      <w:pPr>
        <w:pStyle w:val="259"/>
        <w:keepNext w:val="0"/>
        <w:keepLines w:val="0"/>
        <w:pageBreakBefore w:val="0"/>
        <w:widowControl/>
        <w:spacing w:before="313" w:after="313" w:line="360" w:lineRule="auto"/>
        <w:ind w:firstLine="482"/>
        <w:jc w:val="left"/>
        <w:rPr>
          <w:rStyle w:val="192"/>
          <w:rFonts w:ascii="宋体" w:hAnsi="宋体" w:eastAsia="宋体" w:cs="宋体"/>
          <w:b/>
          <w:bCs/>
          <w:color w:val="auto"/>
          <w:sz w:val="24"/>
          <w:szCs w:val="24"/>
          <w:highlight w:val="none"/>
        </w:rPr>
      </w:pPr>
    </w:p>
    <w:p w14:paraId="5114FAE2">
      <w:pPr>
        <w:pStyle w:val="259"/>
        <w:keepNext w:val="0"/>
        <w:keepLines w:val="0"/>
        <w:pageBreakBefore w:val="0"/>
        <w:widowControl/>
        <w:spacing w:before="313" w:after="313" w:line="360" w:lineRule="auto"/>
        <w:ind w:firstLine="482"/>
        <w:jc w:val="left"/>
        <w:rPr>
          <w:rStyle w:val="192"/>
          <w:rFonts w:hint="eastAsia" w:ascii="宋体" w:hAnsi="宋体" w:eastAsia="宋体" w:cs="宋体"/>
          <w:b/>
          <w:bCs/>
          <w:color w:val="auto"/>
          <w:sz w:val="24"/>
          <w:szCs w:val="24"/>
          <w:highlight w:val="none"/>
        </w:rPr>
      </w:pPr>
    </w:p>
    <w:p w14:paraId="39BAB057">
      <w:pPr>
        <w:pStyle w:val="259"/>
        <w:keepNext w:val="0"/>
        <w:keepLines w:val="0"/>
        <w:pageBreakBefore w:val="0"/>
        <w:widowControl/>
        <w:spacing w:before="313" w:after="313" w:line="360" w:lineRule="auto"/>
        <w:ind w:firstLine="643"/>
        <w:jc w:val="left"/>
        <w:rPr>
          <w:rStyle w:val="192"/>
          <w:rFonts w:hint="eastAsia" w:ascii="宋体" w:hAnsi="宋体" w:eastAsia="宋体" w:cs="宋体"/>
          <w:b/>
          <w:bCs/>
          <w:color w:val="auto"/>
          <w:sz w:val="32"/>
          <w:szCs w:val="32"/>
          <w:highlight w:val="none"/>
        </w:rPr>
      </w:pPr>
    </w:p>
    <w:p w14:paraId="65F3AA10">
      <w:pPr>
        <w:pStyle w:val="259"/>
        <w:keepNext w:val="0"/>
        <w:keepLines w:val="0"/>
        <w:pageBreakBefore w:val="0"/>
        <w:widowControl/>
        <w:spacing w:before="313" w:after="313" w:line="360" w:lineRule="auto"/>
        <w:ind w:firstLine="643"/>
        <w:jc w:val="left"/>
        <w:rPr>
          <w:rStyle w:val="192"/>
          <w:rFonts w:hint="eastAsia" w:ascii="宋体" w:hAnsi="宋体" w:eastAsia="宋体" w:cs="宋体"/>
          <w:b/>
          <w:bCs/>
          <w:color w:val="auto"/>
          <w:sz w:val="32"/>
          <w:szCs w:val="32"/>
          <w:highlight w:val="none"/>
        </w:rPr>
      </w:pPr>
      <w:r>
        <w:rPr>
          <w:rStyle w:val="192"/>
          <w:rFonts w:hint="eastAsia" w:ascii="宋体" w:hAnsi="宋体" w:eastAsia="宋体" w:cs="宋体"/>
          <w:b/>
          <w:bCs/>
          <w:color w:val="auto"/>
          <w:sz w:val="32"/>
          <w:szCs w:val="32"/>
          <w:highlight w:val="none"/>
        </w:rPr>
        <w:t>项目编号：</w:t>
      </w:r>
      <w:r>
        <w:rPr>
          <w:rStyle w:val="192"/>
          <w:rFonts w:hint="eastAsia" w:ascii="宋体" w:hAnsi="宋体" w:eastAsia="宋体" w:cs="宋体"/>
          <w:b/>
          <w:bCs/>
          <w:color w:val="auto"/>
          <w:sz w:val="32"/>
          <w:szCs w:val="32"/>
          <w:highlight w:val="none"/>
          <w:lang w:eastAsia="zh-CN"/>
        </w:rPr>
        <w:t>JSZC-321181-DYWX-C2026-0008</w:t>
      </w:r>
    </w:p>
    <w:p w14:paraId="765E19AF">
      <w:pPr>
        <w:pStyle w:val="259"/>
        <w:keepNext w:val="0"/>
        <w:keepLines w:val="0"/>
        <w:pageBreakBefore w:val="0"/>
        <w:widowControl/>
        <w:spacing w:before="313" w:after="313" w:line="360" w:lineRule="auto"/>
        <w:ind w:firstLine="643"/>
        <w:jc w:val="left"/>
        <w:rPr>
          <w:rStyle w:val="192"/>
          <w:rFonts w:hint="eastAsia" w:ascii="宋体" w:hAnsi="宋体" w:eastAsia="宋体" w:cs="宋体"/>
          <w:b/>
          <w:bCs/>
          <w:color w:val="auto"/>
          <w:sz w:val="32"/>
          <w:szCs w:val="32"/>
          <w:highlight w:val="none"/>
        </w:rPr>
      </w:pPr>
      <w:r>
        <w:rPr>
          <w:rStyle w:val="192"/>
          <w:rFonts w:hint="eastAsia" w:ascii="宋体" w:hAnsi="宋体" w:eastAsia="宋体" w:cs="宋体"/>
          <w:b/>
          <w:bCs/>
          <w:color w:val="auto"/>
          <w:sz w:val="32"/>
          <w:szCs w:val="32"/>
          <w:highlight w:val="none"/>
        </w:rPr>
        <w:t>项目名称：</w:t>
      </w:r>
      <w:r>
        <w:rPr>
          <w:rStyle w:val="192"/>
          <w:rFonts w:hint="eastAsia" w:ascii="宋体" w:hAnsi="宋体" w:eastAsia="宋体" w:cs="宋体"/>
          <w:b/>
          <w:bCs/>
          <w:color w:val="auto"/>
          <w:spacing w:val="-11"/>
          <w:sz w:val="32"/>
          <w:szCs w:val="32"/>
          <w:highlight w:val="none"/>
          <w:lang w:eastAsia="zh-CN"/>
        </w:rPr>
        <w:t>丹阳市正则高级中学宿舍修缮出新项目</w:t>
      </w:r>
    </w:p>
    <w:p w14:paraId="51A92E82">
      <w:pPr>
        <w:pStyle w:val="259"/>
        <w:keepNext w:val="0"/>
        <w:keepLines w:val="0"/>
        <w:pageBreakBefore w:val="0"/>
        <w:widowControl/>
        <w:spacing w:before="313" w:after="313" w:line="360" w:lineRule="auto"/>
        <w:ind w:firstLine="643"/>
        <w:jc w:val="left"/>
        <w:rPr>
          <w:rStyle w:val="192"/>
          <w:rFonts w:hint="eastAsia" w:ascii="宋体" w:hAnsi="宋体" w:eastAsia="宋体" w:cs="宋体"/>
          <w:b/>
          <w:bCs/>
          <w:color w:val="auto"/>
          <w:sz w:val="32"/>
          <w:szCs w:val="32"/>
          <w:highlight w:val="none"/>
        </w:rPr>
      </w:pPr>
      <w:r>
        <w:rPr>
          <w:rStyle w:val="192"/>
          <w:rFonts w:hint="eastAsia" w:ascii="宋体" w:hAnsi="宋体" w:eastAsia="宋体" w:cs="宋体"/>
          <w:b/>
          <w:bCs/>
          <w:color w:val="auto"/>
          <w:sz w:val="32"/>
          <w:szCs w:val="32"/>
          <w:highlight w:val="none"/>
        </w:rPr>
        <w:t>供应商（加盖公章）：</w:t>
      </w:r>
    </w:p>
    <w:p w14:paraId="66B50619">
      <w:pPr>
        <w:pStyle w:val="259"/>
        <w:keepNext w:val="0"/>
        <w:keepLines w:val="0"/>
        <w:pageBreakBefore w:val="0"/>
        <w:widowControl/>
        <w:spacing w:before="313" w:after="313" w:line="360" w:lineRule="auto"/>
        <w:ind w:firstLine="643"/>
        <w:jc w:val="both"/>
        <w:rPr>
          <w:rStyle w:val="192"/>
          <w:rFonts w:ascii="宋体" w:hAnsi="宋体" w:eastAsia="宋体" w:cs="宋体"/>
          <w:color w:val="auto"/>
          <w:sz w:val="32"/>
          <w:szCs w:val="32"/>
          <w:highlight w:val="none"/>
        </w:rPr>
      </w:pPr>
      <w:r>
        <w:rPr>
          <w:rStyle w:val="192"/>
          <w:rFonts w:hint="eastAsia" w:ascii="宋体" w:hAnsi="宋体" w:eastAsia="宋体" w:cs="宋体"/>
          <w:b/>
          <w:bCs/>
          <w:color w:val="auto"/>
          <w:sz w:val="32"/>
          <w:szCs w:val="32"/>
          <w:highlight w:val="none"/>
        </w:rPr>
        <w:t>日</w:t>
      </w:r>
      <w:r>
        <w:rPr>
          <w:rStyle w:val="192"/>
          <w:rFonts w:hint="eastAsia" w:ascii="宋体" w:hAnsi="宋体" w:eastAsia="宋体" w:cs="宋体"/>
          <w:b/>
          <w:bCs/>
          <w:color w:val="auto"/>
          <w:sz w:val="32"/>
          <w:szCs w:val="32"/>
          <w:highlight w:val="none"/>
          <w:lang w:val="en-US" w:eastAsia="zh-CN"/>
        </w:rPr>
        <w:t xml:space="preserve">   </w:t>
      </w:r>
      <w:r>
        <w:rPr>
          <w:rStyle w:val="192"/>
          <w:rFonts w:hint="eastAsia" w:ascii="宋体" w:hAnsi="宋体" w:eastAsia="宋体" w:cs="宋体"/>
          <w:b/>
          <w:bCs/>
          <w:color w:val="auto"/>
          <w:sz w:val="32"/>
          <w:szCs w:val="32"/>
          <w:highlight w:val="none"/>
        </w:rPr>
        <w:t>期：</w:t>
      </w:r>
    </w:p>
    <w:p w14:paraId="124EDBF2">
      <w:pPr>
        <w:pStyle w:val="260"/>
        <w:jc w:val="center"/>
        <w:outlineLvl w:val="1"/>
        <w:rPr>
          <w:rStyle w:val="192"/>
          <w:rFonts w:ascii="Times New Roman" w:hAnsi="Times New Roman" w:eastAsia="Times New Roman" w:cs="Times New Roman"/>
          <w:color w:val="auto"/>
          <w:highlight w:val="none"/>
        </w:rPr>
      </w:pPr>
      <w:r>
        <w:rPr>
          <w:rStyle w:val="192"/>
          <w:rFonts w:ascii="Times New Roman" w:hAnsi="Times New Roman" w:eastAsia="Times New Roman" w:cs="Times New Roman"/>
          <w:color w:val="auto"/>
          <w:highlight w:val="none"/>
        </w:rPr>
        <w:br w:type="page" w:clear="all"/>
      </w:r>
      <w:bookmarkStart w:id="578" w:name="_Toc10351"/>
      <w:r>
        <w:rPr>
          <w:rStyle w:val="192"/>
          <w:rFonts w:ascii="宋体" w:hAnsi="宋体" w:eastAsia="宋体" w:cs="宋体"/>
          <w:b/>
          <w:bCs/>
          <w:color w:val="auto"/>
          <w:sz w:val="32"/>
          <w:highlight w:val="none"/>
        </w:rPr>
        <w:t>一、资格部分</w:t>
      </w:r>
      <w:bookmarkEnd w:id="578"/>
    </w:p>
    <w:p w14:paraId="78822ADE">
      <w:pPr>
        <w:pStyle w:val="261"/>
        <w:keepNext w:val="0"/>
        <w:keepLines w:val="0"/>
        <w:pageBreakBefore w:val="0"/>
        <w:widowControl/>
        <w:spacing w:before="181" w:after="361"/>
        <w:jc w:val="center"/>
        <w:outlineLvl w:val="2"/>
        <w:rPr>
          <w:rStyle w:val="192"/>
          <w:rFonts w:ascii="Times New Roman" w:hAnsi="Times New Roman" w:eastAsia="Times New Roman" w:cs="Times New Roman"/>
          <w:color w:val="auto"/>
          <w:highlight w:val="none"/>
        </w:rPr>
      </w:pPr>
      <w:bookmarkStart w:id="579" w:name="_Toc14506"/>
      <w:r>
        <w:rPr>
          <w:rStyle w:val="192"/>
          <w:rFonts w:ascii="宋体" w:hAnsi="宋体" w:eastAsia="宋体" w:cs="宋体"/>
          <w:b w:val="0"/>
          <w:color w:val="auto"/>
          <w:sz w:val="28"/>
          <w:highlight w:val="none"/>
        </w:rPr>
        <w:t>(一)磋商承诺函</w:t>
      </w:r>
      <w:bookmarkEnd w:id="579"/>
    </w:p>
    <w:p w14:paraId="3F210D9B">
      <w:pPr>
        <w:pStyle w:val="262"/>
        <w:spacing w:before="240" w:after="240"/>
        <w:rPr>
          <w:rStyle w:val="192"/>
          <w:rFonts w:ascii="宋体" w:hAnsi="宋体" w:eastAsia="宋体" w:cs="宋体"/>
          <w:color w:val="auto"/>
          <w:sz w:val="24"/>
          <w:szCs w:val="24"/>
          <w:highlight w:val="none"/>
          <w:u w:val="single"/>
        </w:rPr>
      </w:pPr>
      <w:r>
        <w:rPr>
          <w:rStyle w:val="192"/>
          <w:rFonts w:ascii="宋体" w:hAnsi="宋体" w:eastAsia="宋体" w:cs="宋体"/>
          <w:color w:val="auto"/>
          <w:highlight w:val="none"/>
        </w:rPr>
        <w:t>致：</w:t>
      </w:r>
      <w:r>
        <w:rPr>
          <w:rStyle w:val="192"/>
          <w:rFonts w:ascii="宋体" w:hAnsi="宋体" w:eastAsia="宋体" w:cs="宋体"/>
          <w:color w:val="auto"/>
          <w:highlight w:val="none"/>
          <w:u w:val="single"/>
        </w:rPr>
        <w:t xml:space="preserve">   （磋商组织方） </w:t>
      </w:r>
    </w:p>
    <w:p w14:paraId="1ED57520">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根据贵方关于</w:t>
      </w:r>
      <w:r>
        <w:rPr>
          <w:rStyle w:val="192"/>
          <w:rFonts w:ascii="宋体" w:hAnsi="宋体" w:eastAsia="宋体" w:cs="宋体"/>
          <w:color w:val="auto"/>
          <w:highlight w:val="none"/>
          <w:u w:val="single"/>
        </w:rPr>
        <w:t>  </w:t>
      </w:r>
      <w:r>
        <w:rPr>
          <w:rStyle w:val="192"/>
          <w:rFonts w:hint="eastAsia" w:ascii="宋体" w:hAnsi="宋体" w:eastAsia="宋体" w:cs="宋体"/>
          <w:color w:val="auto"/>
          <w:highlight w:val="none"/>
          <w:u w:val="single"/>
          <w:lang w:val="en-US" w:eastAsia="zh-CN"/>
        </w:rPr>
        <w:t>（项目名称）</w:t>
      </w:r>
      <w:r>
        <w:rPr>
          <w:rStyle w:val="192"/>
          <w:rFonts w:ascii="宋体" w:hAnsi="宋体" w:eastAsia="宋体" w:cs="宋体"/>
          <w:color w:val="auto"/>
          <w:highlight w:val="none"/>
          <w:u w:val="single"/>
        </w:rPr>
        <w:t> </w:t>
      </w:r>
      <w:r>
        <w:rPr>
          <w:rStyle w:val="192"/>
          <w:rFonts w:hint="eastAsia" w:ascii="宋体" w:hAnsi="宋体" w:eastAsia="宋体" w:cs="宋体"/>
          <w:color w:val="auto"/>
          <w:highlight w:val="none"/>
          <w:u w:val="single"/>
          <w:lang w:eastAsia="zh-CN"/>
        </w:rPr>
        <w:t>（项目编号）</w:t>
      </w:r>
      <w:r>
        <w:rPr>
          <w:rStyle w:val="192"/>
          <w:rFonts w:ascii="宋体" w:hAnsi="宋体" w:eastAsia="宋体" w:cs="宋体"/>
          <w:color w:val="auto"/>
          <w:highlight w:val="none"/>
        </w:rPr>
        <w:t xml:space="preserve">的磋商邀请，我方已完全理解磋商文件的所有内容。 </w:t>
      </w:r>
    </w:p>
    <w:p w14:paraId="72777154">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 xml:space="preserve">据此函，我方兹宣布同意如下： </w:t>
      </w:r>
    </w:p>
    <w:p w14:paraId="725BC100">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p>
    <w:p w14:paraId="58EF2F5B">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 xml:space="preserve">2.我方承诺：参加本次采购活动前三年内，在经营活动中没有重大违法记录。 </w:t>
      </w:r>
    </w:p>
    <w:p w14:paraId="37ABB80F">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p>
    <w:p w14:paraId="10F5E0D0">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 xml:space="preserve">4.我方承诺按磋商文件要求提供的服务及货物的磋商报价见报价一览表。 </w:t>
      </w:r>
    </w:p>
    <w:p w14:paraId="32CE42EB">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 xml:space="preserve">5．我方承诺根据磋商文件的规定，完成合同义务，并承担责任（如有偏离，在响应文件中另作说明）。 </w:t>
      </w:r>
    </w:p>
    <w:p w14:paraId="01E52D98">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6．我方已详读全部磋商文件，包括磋商文件书面修改通知（如有），我方完全理解并同意放弃对这方面不明及误解的权利。</w:t>
      </w:r>
    </w:p>
    <w:p w14:paraId="2A4C2070">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7．我方承诺响应文件及所有材料的完整、真实、合法、有效，并对其负责。承诺在磋商期间，如磋商小组对我方提出澄清要求，将及时作出响应，否则自行承担后果。</w:t>
      </w:r>
    </w:p>
    <w:p w14:paraId="1BAB1A4F">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8．我方同意从规定的磋商日期起遵循本磋商文件，并在规定的磋商有效期期满之前均具有约束力。</w:t>
      </w:r>
    </w:p>
    <w:p w14:paraId="4472B8B9">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9．我方同意向贵方提供贵方可能要求的与本磋商有关的任何证据或资料。</w:t>
      </w:r>
    </w:p>
    <w:p w14:paraId="14D1FA24">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10.我方知道如用虚假材料或恶意方式向贵方提出质疑，将承担相应的法律责任。同时承诺：我方如果有上述行为，将无条件承担贵方相关的调查论证费用。</w:t>
      </w:r>
    </w:p>
    <w:p w14:paraId="662043BE">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11．本次响应文件内容与磋商文件内容偏离见磋商偏离表（如果有）。</w:t>
      </w:r>
    </w:p>
    <w:p w14:paraId="3ED26782">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12．遵守磋商文件中要求的收费项目和标准。</w:t>
      </w:r>
    </w:p>
    <w:p w14:paraId="399D3AC5">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13．我方将严格遵守《中华人民共和国政府采购法》，若存在违法违规行为，自愿承担相应的法律后果。</w:t>
      </w:r>
    </w:p>
    <w:p w14:paraId="211693F6">
      <w:pPr>
        <w:pStyle w:val="262"/>
        <w:keepNext w:val="0"/>
        <w:keepLines w:val="0"/>
        <w:pageBreakBefore w:val="0"/>
        <w:widowControl/>
        <w:spacing w:line="360" w:lineRule="auto"/>
        <w:ind w:firstLine="42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14．与本磋商有关的一切正式往来通讯请寄：</w:t>
      </w:r>
    </w:p>
    <w:p w14:paraId="2B2378D4">
      <w:pPr>
        <w:pStyle w:val="262"/>
        <w:spacing w:before="240" w:after="240"/>
        <w:ind w:firstLine="3000"/>
        <w:rPr>
          <w:rStyle w:val="192"/>
          <w:rFonts w:ascii="宋体" w:hAnsi="宋体" w:eastAsia="宋体" w:cs="宋体"/>
          <w:color w:val="auto"/>
          <w:highlight w:val="none"/>
        </w:rPr>
      </w:pPr>
      <w:r>
        <w:rPr>
          <w:rStyle w:val="192"/>
          <w:rFonts w:ascii="宋体" w:hAnsi="宋体" w:eastAsia="宋体" w:cs="宋体"/>
          <w:color w:val="auto"/>
          <w:highlight w:val="none"/>
        </w:rPr>
        <w:t>地址：    电话：</w:t>
      </w:r>
    </w:p>
    <w:p w14:paraId="58F1BE1B">
      <w:pPr>
        <w:pStyle w:val="262"/>
        <w:spacing w:before="240" w:after="240"/>
        <w:ind w:firstLine="3000"/>
        <w:rPr>
          <w:rStyle w:val="192"/>
          <w:rFonts w:ascii="宋体" w:hAnsi="宋体" w:eastAsia="宋体" w:cs="宋体"/>
          <w:color w:val="auto"/>
          <w:highlight w:val="none"/>
        </w:rPr>
      </w:pPr>
      <w:r>
        <w:rPr>
          <w:rStyle w:val="192"/>
          <w:rFonts w:ascii="宋体" w:hAnsi="宋体" w:eastAsia="宋体" w:cs="宋体"/>
          <w:color w:val="auto"/>
          <w:highlight w:val="none"/>
        </w:rPr>
        <w:t>传真：    邮政编码：</w:t>
      </w:r>
    </w:p>
    <w:p w14:paraId="1F8DF3F5">
      <w:pPr>
        <w:pStyle w:val="262"/>
        <w:spacing w:before="240" w:after="240"/>
        <w:ind w:firstLine="3000"/>
        <w:rPr>
          <w:rStyle w:val="192"/>
          <w:rFonts w:ascii="宋体" w:hAnsi="宋体" w:eastAsia="宋体" w:cs="宋体"/>
          <w:color w:val="auto"/>
          <w:highlight w:val="none"/>
        </w:rPr>
      </w:pPr>
      <w:r>
        <w:rPr>
          <w:rStyle w:val="192"/>
          <w:rFonts w:ascii="宋体" w:hAnsi="宋体" w:eastAsia="宋体" w:cs="宋体"/>
          <w:color w:val="auto"/>
          <w:highlight w:val="none"/>
        </w:rPr>
        <w:t>供应商（公章）：</w:t>
      </w:r>
    </w:p>
    <w:p w14:paraId="20716B86">
      <w:pPr>
        <w:pStyle w:val="262"/>
        <w:spacing w:before="240" w:after="240"/>
        <w:ind w:firstLine="3000"/>
        <w:rPr>
          <w:rStyle w:val="192"/>
          <w:rFonts w:ascii="宋体" w:hAnsi="宋体" w:eastAsia="宋体" w:cs="宋体"/>
          <w:color w:val="auto"/>
          <w:highlight w:val="none"/>
        </w:rPr>
      </w:pPr>
      <w:r>
        <w:rPr>
          <w:rStyle w:val="192"/>
          <w:rFonts w:ascii="宋体" w:hAnsi="宋体" w:eastAsia="宋体" w:cs="宋体"/>
          <w:color w:val="auto"/>
          <w:highlight w:val="none"/>
        </w:rPr>
        <w:t>法定代表人签章：</w:t>
      </w:r>
    </w:p>
    <w:p w14:paraId="4E4BA20E">
      <w:pPr>
        <w:pStyle w:val="262"/>
        <w:spacing w:before="240" w:after="240"/>
        <w:ind w:firstLine="300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日 期：  </w:t>
      </w:r>
    </w:p>
    <w:p w14:paraId="7117076B">
      <w:pPr>
        <w:pStyle w:val="263"/>
        <w:jc w:val="center"/>
        <w:outlineLvl w:val="2"/>
        <w:rPr>
          <w:rStyle w:val="192"/>
          <w:rFonts w:ascii="Times New Roman" w:hAnsi="Times New Roman" w:eastAsia="Times New Roman" w:cs="Times New Roman"/>
          <w:color w:val="auto"/>
          <w:highlight w:val="none"/>
        </w:rPr>
      </w:pPr>
      <w:r>
        <w:rPr>
          <w:rStyle w:val="192"/>
          <w:rFonts w:ascii="Times New Roman" w:hAnsi="Times New Roman" w:eastAsia="Times New Roman" w:cs="Times New Roman"/>
          <w:color w:val="auto"/>
          <w:highlight w:val="none"/>
        </w:rPr>
        <w:br w:type="page" w:clear="all"/>
      </w:r>
      <w:bookmarkStart w:id="580" w:name="_Toc21424"/>
      <w:r>
        <w:rPr>
          <w:rStyle w:val="192"/>
          <w:rFonts w:ascii="宋体" w:hAnsi="宋体" w:eastAsia="宋体" w:cs="宋体"/>
          <w:b/>
          <w:bCs/>
          <w:color w:val="auto"/>
          <w:sz w:val="28"/>
          <w:szCs w:val="24"/>
          <w:highlight w:val="none"/>
        </w:rPr>
        <w:t>(二)独立承担民事责任的能力</w:t>
      </w:r>
      <w:bookmarkEnd w:id="580"/>
    </w:p>
    <w:p w14:paraId="4DD813DC">
      <w:pPr>
        <w:pStyle w:val="264"/>
        <w:jc w:val="center"/>
        <w:outlineLvl w:val="2"/>
        <w:rPr>
          <w:rStyle w:val="192"/>
          <w:rFonts w:ascii="Times New Roman" w:hAnsi="Times New Roman" w:eastAsia="Times New Roman" w:cs="Times New Roman"/>
          <w:color w:val="auto"/>
          <w:highlight w:val="none"/>
        </w:rPr>
      </w:pPr>
      <w:bookmarkStart w:id="581" w:name="_Toc30575"/>
      <w:bookmarkStart w:id="582" w:name="_Toc23654"/>
      <w:r>
        <w:rPr>
          <w:rStyle w:val="192"/>
          <w:rFonts w:ascii="宋体" w:hAnsi="宋体" w:eastAsia="宋体" w:cs="宋体"/>
          <w:b w:val="0"/>
          <w:color w:val="auto"/>
          <w:sz w:val="24"/>
          <w:szCs w:val="32"/>
          <w:highlight w:val="none"/>
        </w:rPr>
        <w:t>提供法人或者其他组织的营业执照等证明文件；供应商为自然人的，提供其身份证</w:t>
      </w:r>
      <w:r>
        <w:rPr>
          <w:rStyle w:val="192"/>
          <w:rFonts w:hint="eastAsia" w:ascii="宋体" w:hAnsi="宋体" w:eastAsia="宋体" w:cs="宋体"/>
          <w:b w:val="0"/>
          <w:color w:val="auto"/>
          <w:sz w:val="24"/>
          <w:szCs w:val="32"/>
          <w:highlight w:val="none"/>
          <w:lang w:eastAsia="zh-CN"/>
        </w:rPr>
        <w:t>。</w:t>
      </w:r>
      <w:r>
        <w:rPr>
          <w:rStyle w:val="192"/>
          <w:rFonts w:ascii="Times New Roman" w:hAnsi="Times New Roman" w:eastAsia="Times New Roman" w:cs="Times New Roman"/>
          <w:color w:val="auto"/>
          <w:highlight w:val="none"/>
        </w:rPr>
        <w:br w:type="page" w:clear="all"/>
      </w:r>
      <w:r>
        <w:rPr>
          <w:rStyle w:val="192"/>
          <w:rFonts w:ascii="宋体" w:hAnsi="宋体" w:eastAsia="宋体" w:cs="宋体"/>
          <w:b/>
          <w:bCs/>
          <w:color w:val="auto"/>
          <w:sz w:val="28"/>
          <w:szCs w:val="24"/>
          <w:highlight w:val="none"/>
        </w:rPr>
        <w:t>(三)良好的商业信誉和健全的财务会计制度</w:t>
      </w:r>
      <w:bookmarkEnd w:id="581"/>
      <w:bookmarkEnd w:id="582"/>
    </w:p>
    <w:p w14:paraId="5DE24319">
      <w:pPr>
        <w:pStyle w:val="265"/>
        <w:jc w:val="center"/>
        <w:outlineLvl w:val="2"/>
        <w:rPr>
          <w:rStyle w:val="192"/>
          <w:rFonts w:hint="eastAsia" w:ascii="宋体" w:hAnsi="宋体" w:eastAsia="宋体" w:cs="宋体"/>
          <w:b w:val="0"/>
          <w:color w:val="auto"/>
          <w:sz w:val="24"/>
          <w:szCs w:val="32"/>
          <w:highlight w:val="none"/>
        </w:rPr>
      </w:pPr>
      <w:bookmarkStart w:id="583" w:name="_Toc19986"/>
      <w:bookmarkStart w:id="584" w:name="_Toc28952"/>
      <w:bookmarkStart w:id="585" w:name="_Toc26095"/>
      <w:bookmarkStart w:id="586" w:name="_Toc9026"/>
      <w:bookmarkStart w:id="587" w:name="_Toc3280"/>
      <w:r>
        <w:rPr>
          <w:rStyle w:val="192"/>
          <w:rFonts w:hint="eastAsia" w:ascii="宋体" w:hAnsi="宋体" w:eastAsia="宋体" w:cs="宋体"/>
          <w:b w:val="0"/>
          <w:color w:val="auto"/>
          <w:sz w:val="24"/>
          <w:szCs w:val="32"/>
          <w:highlight w:val="none"/>
          <w:lang w:eastAsia="zh-CN"/>
        </w:rPr>
        <w:t>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583"/>
      <w:bookmarkEnd w:id="584"/>
      <w:r>
        <w:rPr>
          <w:rStyle w:val="192"/>
          <w:rFonts w:hint="eastAsia" w:ascii="宋体" w:hAnsi="宋体" w:eastAsia="宋体" w:cs="宋体"/>
          <w:b w:val="0"/>
          <w:color w:val="auto"/>
          <w:sz w:val="24"/>
          <w:szCs w:val="32"/>
          <w:highlight w:val="none"/>
          <w:lang w:eastAsia="zh-CN"/>
        </w:rPr>
        <w:t>。</w:t>
      </w:r>
      <w:bookmarkEnd w:id="585"/>
      <w:bookmarkEnd w:id="586"/>
    </w:p>
    <w:p w14:paraId="5339111E">
      <w:pPr>
        <w:rPr>
          <w:rStyle w:val="192"/>
          <w:rFonts w:ascii="宋体" w:hAnsi="宋体" w:eastAsia="宋体" w:cs="宋体"/>
          <w:b/>
          <w:bCs/>
          <w:color w:val="auto"/>
          <w:sz w:val="28"/>
          <w:szCs w:val="24"/>
          <w:highlight w:val="none"/>
        </w:rPr>
      </w:pPr>
      <w:r>
        <w:rPr>
          <w:rStyle w:val="192"/>
          <w:rFonts w:ascii="宋体" w:hAnsi="宋体" w:eastAsia="宋体" w:cs="宋体"/>
          <w:b/>
          <w:bCs/>
          <w:color w:val="auto"/>
          <w:sz w:val="28"/>
          <w:szCs w:val="24"/>
          <w:highlight w:val="none"/>
        </w:rPr>
        <w:br w:type="page" w:clear="all"/>
      </w:r>
    </w:p>
    <w:p w14:paraId="6DBF8D2C">
      <w:pPr>
        <w:pStyle w:val="265"/>
        <w:jc w:val="center"/>
        <w:outlineLvl w:val="2"/>
        <w:rPr>
          <w:rStyle w:val="192"/>
          <w:rFonts w:ascii="Times New Roman" w:hAnsi="Times New Roman" w:eastAsia="Times New Roman" w:cs="Times New Roman"/>
          <w:color w:val="auto"/>
          <w:highlight w:val="none"/>
        </w:rPr>
      </w:pPr>
      <w:bookmarkStart w:id="588" w:name="_Toc9379"/>
      <w:r>
        <w:rPr>
          <w:rStyle w:val="192"/>
          <w:rFonts w:ascii="宋体" w:hAnsi="宋体" w:eastAsia="宋体" w:cs="宋体"/>
          <w:b/>
          <w:bCs/>
          <w:color w:val="auto"/>
          <w:sz w:val="28"/>
          <w:szCs w:val="24"/>
          <w:highlight w:val="none"/>
        </w:rPr>
        <w:t>(四)履行合同所必需的设备和专业技术能力</w:t>
      </w:r>
      <w:bookmarkEnd w:id="587"/>
      <w:bookmarkEnd w:id="588"/>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6"/>
        <w:gridCol w:w="1458"/>
        <w:gridCol w:w="1897"/>
        <w:gridCol w:w="129"/>
        <w:gridCol w:w="881"/>
        <w:gridCol w:w="120"/>
        <w:gridCol w:w="574"/>
        <w:gridCol w:w="974"/>
        <w:gridCol w:w="222"/>
        <w:gridCol w:w="2340"/>
      </w:tblGrid>
      <w:tr w14:paraId="297F0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964" w:type="dxa"/>
            <w:shd w:val="clear" w:color="auto" w:fill="D9D9D9"/>
            <w:noWrap w:val="0"/>
            <w:vAlign w:val="center"/>
          </w:tcPr>
          <w:p w14:paraId="4C92A001">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一</w:t>
            </w:r>
          </w:p>
        </w:tc>
        <w:tc>
          <w:tcPr>
            <w:tcW w:w="8402" w:type="dxa"/>
            <w:gridSpan w:val="9"/>
            <w:shd w:val="clear" w:color="auto" w:fill="D9D9D9"/>
            <w:noWrap w:val="0"/>
            <w:vAlign w:val="center"/>
          </w:tcPr>
          <w:p w14:paraId="0D341C86">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公司基本信息</w:t>
            </w:r>
          </w:p>
        </w:tc>
      </w:tr>
      <w:tr w14:paraId="1B229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964" w:type="dxa"/>
            <w:noWrap w:val="0"/>
            <w:vAlign w:val="center"/>
          </w:tcPr>
          <w:p w14:paraId="51E60DD4">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1</w:t>
            </w:r>
          </w:p>
        </w:tc>
        <w:tc>
          <w:tcPr>
            <w:tcW w:w="1425" w:type="dxa"/>
            <w:noWrap w:val="0"/>
            <w:vAlign w:val="center"/>
          </w:tcPr>
          <w:p w14:paraId="26B35084">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公司名称</w:t>
            </w:r>
          </w:p>
        </w:tc>
        <w:tc>
          <w:tcPr>
            <w:tcW w:w="6977" w:type="dxa"/>
            <w:gridSpan w:val="8"/>
            <w:noWrap w:val="0"/>
            <w:vAlign w:val="center"/>
          </w:tcPr>
          <w:p w14:paraId="008BFF47">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7C00F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964" w:type="dxa"/>
            <w:noWrap w:val="0"/>
            <w:vAlign w:val="center"/>
          </w:tcPr>
          <w:p w14:paraId="02A2871E">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2</w:t>
            </w:r>
          </w:p>
        </w:tc>
        <w:tc>
          <w:tcPr>
            <w:tcW w:w="1425" w:type="dxa"/>
            <w:noWrap w:val="0"/>
            <w:vAlign w:val="center"/>
          </w:tcPr>
          <w:p w14:paraId="6DE80A90">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注册资金</w:t>
            </w:r>
          </w:p>
        </w:tc>
        <w:tc>
          <w:tcPr>
            <w:tcW w:w="1980" w:type="dxa"/>
            <w:gridSpan w:val="2"/>
            <w:noWrap w:val="0"/>
            <w:vAlign w:val="center"/>
          </w:tcPr>
          <w:p w14:paraId="36C43AD2">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c>
          <w:tcPr>
            <w:tcW w:w="861" w:type="dxa"/>
            <w:noWrap w:val="0"/>
            <w:vAlign w:val="center"/>
          </w:tcPr>
          <w:p w14:paraId="6FB23670">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3</w:t>
            </w:r>
          </w:p>
        </w:tc>
        <w:tc>
          <w:tcPr>
            <w:tcW w:w="1631" w:type="dxa"/>
            <w:gridSpan w:val="3"/>
            <w:noWrap w:val="0"/>
            <w:vAlign w:val="center"/>
          </w:tcPr>
          <w:p w14:paraId="3BDCB159">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公司地址</w:t>
            </w:r>
          </w:p>
        </w:tc>
        <w:tc>
          <w:tcPr>
            <w:tcW w:w="2504" w:type="dxa"/>
            <w:gridSpan w:val="2"/>
            <w:noWrap w:val="0"/>
            <w:vAlign w:val="center"/>
          </w:tcPr>
          <w:p w14:paraId="409FCAD2">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522F1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964" w:type="dxa"/>
            <w:noWrap w:val="0"/>
            <w:vAlign w:val="center"/>
          </w:tcPr>
          <w:p w14:paraId="12B822D4">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4</w:t>
            </w:r>
          </w:p>
        </w:tc>
        <w:tc>
          <w:tcPr>
            <w:tcW w:w="1425" w:type="dxa"/>
            <w:noWrap w:val="0"/>
            <w:vAlign w:val="center"/>
          </w:tcPr>
          <w:p w14:paraId="67122852">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从业人数</w:t>
            </w:r>
          </w:p>
        </w:tc>
        <w:tc>
          <w:tcPr>
            <w:tcW w:w="1980" w:type="dxa"/>
            <w:gridSpan w:val="2"/>
            <w:noWrap w:val="0"/>
            <w:vAlign w:val="center"/>
          </w:tcPr>
          <w:p w14:paraId="006D1179">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c>
          <w:tcPr>
            <w:tcW w:w="861" w:type="dxa"/>
            <w:noWrap w:val="0"/>
            <w:vAlign w:val="center"/>
          </w:tcPr>
          <w:p w14:paraId="1F090562">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5</w:t>
            </w:r>
          </w:p>
        </w:tc>
        <w:tc>
          <w:tcPr>
            <w:tcW w:w="1631" w:type="dxa"/>
            <w:gridSpan w:val="3"/>
            <w:noWrap w:val="0"/>
            <w:vAlign w:val="center"/>
          </w:tcPr>
          <w:p w14:paraId="40CAEE70">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法定代表人</w:t>
            </w:r>
          </w:p>
        </w:tc>
        <w:tc>
          <w:tcPr>
            <w:tcW w:w="2504" w:type="dxa"/>
            <w:gridSpan w:val="2"/>
            <w:noWrap w:val="0"/>
            <w:vAlign w:val="center"/>
          </w:tcPr>
          <w:p w14:paraId="69A220DD">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40201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64" w:type="dxa"/>
            <w:noWrap w:val="0"/>
            <w:vAlign w:val="center"/>
          </w:tcPr>
          <w:p w14:paraId="597CCA7F">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6</w:t>
            </w:r>
          </w:p>
        </w:tc>
        <w:tc>
          <w:tcPr>
            <w:tcW w:w="1425" w:type="dxa"/>
            <w:noWrap w:val="0"/>
            <w:vAlign w:val="center"/>
          </w:tcPr>
          <w:p w14:paraId="0E805CE0">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开户银行</w:t>
            </w:r>
          </w:p>
        </w:tc>
        <w:tc>
          <w:tcPr>
            <w:tcW w:w="1980" w:type="dxa"/>
            <w:gridSpan w:val="2"/>
            <w:noWrap w:val="0"/>
            <w:vAlign w:val="center"/>
          </w:tcPr>
          <w:p w14:paraId="7D5F98BF">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c>
          <w:tcPr>
            <w:tcW w:w="861" w:type="dxa"/>
            <w:noWrap w:val="0"/>
            <w:vAlign w:val="center"/>
          </w:tcPr>
          <w:p w14:paraId="3C15F838">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7</w:t>
            </w:r>
          </w:p>
        </w:tc>
        <w:tc>
          <w:tcPr>
            <w:tcW w:w="1631" w:type="dxa"/>
            <w:gridSpan w:val="3"/>
            <w:noWrap w:val="0"/>
            <w:vAlign w:val="center"/>
          </w:tcPr>
          <w:p w14:paraId="6E9698E1">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账号</w:t>
            </w:r>
          </w:p>
        </w:tc>
        <w:tc>
          <w:tcPr>
            <w:tcW w:w="2504" w:type="dxa"/>
            <w:gridSpan w:val="2"/>
            <w:noWrap w:val="0"/>
            <w:vAlign w:val="center"/>
          </w:tcPr>
          <w:p w14:paraId="1F61C1F4">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50B8B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64" w:type="dxa"/>
            <w:noWrap w:val="0"/>
            <w:vAlign w:val="center"/>
          </w:tcPr>
          <w:p w14:paraId="5D7202CD">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8</w:t>
            </w:r>
          </w:p>
        </w:tc>
        <w:tc>
          <w:tcPr>
            <w:tcW w:w="1425" w:type="dxa"/>
            <w:noWrap w:val="0"/>
            <w:vAlign w:val="center"/>
          </w:tcPr>
          <w:p w14:paraId="7F4EE35A">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项目联系人</w:t>
            </w:r>
          </w:p>
        </w:tc>
        <w:tc>
          <w:tcPr>
            <w:tcW w:w="1980" w:type="dxa"/>
            <w:gridSpan w:val="2"/>
            <w:noWrap w:val="0"/>
            <w:vAlign w:val="center"/>
          </w:tcPr>
          <w:p w14:paraId="6C7AB8D7">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c>
          <w:tcPr>
            <w:tcW w:w="861" w:type="dxa"/>
            <w:noWrap w:val="0"/>
            <w:vAlign w:val="center"/>
          </w:tcPr>
          <w:p w14:paraId="5DA3DAAC">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9</w:t>
            </w:r>
          </w:p>
        </w:tc>
        <w:tc>
          <w:tcPr>
            <w:tcW w:w="1631" w:type="dxa"/>
            <w:gridSpan w:val="3"/>
            <w:noWrap w:val="0"/>
            <w:vAlign w:val="center"/>
          </w:tcPr>
          <w:p w14:paraId="2E8C6FF9">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联系电话</w:t>
            </w:r>
          </w:p>
        </w:tc>
        <w:tc>
          <w:tcPr>
            <w:tcW w:w="2504" w:type="dxa"/>
            <w:gridSpan w:val="2"/>
            <w:noWrap w:val="0"/>
            <w:vAlign w:val="center"/>
          </w:tcPr>
          <w:p w14:paraId="774C410A">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589BC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64" w:type="dxa"/>
            <w:shd w:val="clear" w:color="auto" w:fill="D9D9D9"/>
            <w:noWrap w:val="0"/>
            <w:vAlign w:val="center"/>
          </w:tcPr>
          <w:p w14:paraId="4E0ECEAA">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二</w:t>
            </w:r>
          </w:p>
        </w:tc>
        <w:tc>
          <w:tcPr>
            <w:tcW w:w="8402" w:type="dxa"/>
            <w:gridSpan w:val="9"/>
            <w:shd w:val="clear" w:color="auto" w:fill="D9D9D9"/>
            <w:noWrap w:val="0"/>
            <w:vAlign w:val="center"/>
          </w:tcPr>
          <w:p w14:paraId="62676FB8">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公司财务状况</w:t>
            </w:r>
          </w:p>
        </w:tc>
      </w:tr>
      <w:tr w14:paraId="5B29E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64" w:type="dxa"/>
            <w:noWrap w:val="0"/>
            <w:vAlign w:val="center"/>
          </w:tcPr>
          <w:p w14:paraId="6E63720A">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（一）</w:t>
            </w:r>
          </w:p>
        </w:tc>
        <w:tc>
          <w:tcPr>
            <w:tcW w:w="8402" w:type="dxa"/>
            <w:gridSpan w:val="9"/>
            <w:noWrap w:val="0"/>
            <w:vAlign w:val="center"/>
          </w:tcPr>
          <w:p w14:paraId="4A6A9C05">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u w:val="single"/>
                <w:lang w:val="en-US" w:eastAsia="zh-CN" w:bidi="ar-SA"/>
              </w:rPr>
              <w:t>××××</w:t>
            </w:r>
            <w:r>
              <w:rPr>
                <w:rStyle w:val="192"/>
                <w:rFonts w:hint="eastAsia" w:ascii="宋体" w:hAnsi="宋体" w:eastAsia="宋体" w:cs="宋体"/>
                <w:b/>
                <w:color w:val="auto"/>
                <w:sz w:val="20"/>
                <w:szCs w:val="20"/>
                <w:highlight w:val="none"/>
                <w:lang w:val="en-US" w:eastAsia="zh-CN" w:bidi="ar-SA"/>
              </w:rPr>
              <w:t>年度财务状况</w:t>
            </w:r>
          </w:p>
        </w:tc>
      </w:tr>
      <w:tr w14:paraId="279FC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964" w:type="dxa"/>
            <w:noWrap w:val="0"/>
            <w:vAlign w:val="center"/>
          </w:tcPr>
          <w:p w14:paraId="54475283">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1</w:t>
            </w:r>
          </w:p>
        </w:tc>
        <w:tc>
          <w:tcPr>
            <w:tcW w:w="1425" w:type="dxa"/>
            <w:noWrap w:val="0"/>
            <w:vAlign w:val="center"/>
          </w:tcPr>
          <w:p w14:paraId="02E38DA7">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营业收入（万）：</w:t>
            </w:r>
          </w:p>
        </w:tc>
        <w:tc>
          <w:tcPr>
            <w:tcW w:w="1980" w:type="dxa"/>
            <w:gridSpan w:val="2"/>
            <w:noWrap w:val="0"/>
            <w:vAlign w:val="center"/>
          </w:tcPr>
          <w:p w14:paraId="220E01FA">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c>
          <w:tcPr>
            <w:tcW w:w="861" w:type="dxa"/>
            <w:noWrap w:val="0"/>
            <w:vAlign w:val="center"/>
          </w:tcPr>
          <w:p w14:paraId="03AEF6A9">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2</w:t>
            </w:r>
          </w:p>
        </w:tc>
        <w:tc>
          <w:tcPr>
            <w:tcW w:w="1631" w:type="dxa"/>
            <w:gridSpan w:val="3"/>
            <w:noWrap w:val="0"/>
            <w:vAlign w:val="center"/>
          </w:tcPr>
          <w:p w14:paraId="0EE30841">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利润总额（万）</w:t>
            </w:r>
          </w:p>
        </w:tc>
        <w:tc>
          <w:tcPr>
            <w:tcW w:w="2504" w:type="dxa"/>
            <w:gridSpan w:val="2"/>
            <w:noWrap w:val="0"/>
            <w:vAlign w:val="center"/>
          </w:tcPr>
          <w:p w14:paraId="2FBD3CD6">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22B90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jc w:val="center"/>
        </w:trPr>
        <w:tc>
          <w:tcPr>
            <w:tcW w:w="964" w:type="dxa"/>
            <w:noWrap w:val="0"/>
            <w:vAlign w:val="center"/>
          </w:tcPr>
          <w:p w14:paraId="5A0C1D3B">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3</w:t>
            </w:r>
          </w:p>
        </w:tc>
        <w:tc>
          <w:tcPr>
            <w:tcW w:w="1425" w:type="dxa"/>
            <w:noWrap w:val="0"/>
            <w:vAlign w:val="center"/>
          </w:tcPr>
          <w:p w14:paraId="2D838E4E">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年末“固定资产合计”（万）</w:t>
            </w:r>
          </w:p>
        </w:tc>
        <w:tc>
          <w:tcPr>
            <w:tcW w:w="1980" w:type="dxa"/>
            <w:gridSpan w:val="2"/>
            <w:noWrap w:val="0"/>
            <w:vAlign w:val="center"/>
          </w:tcPr>
          <w:p w14:paraId="4797D2B2">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c>
          <w:tcPr>
            <w:tcW w:w="861" w:type="dxa"/>
            <w:noWrap w:val="0"/>
            <w:vAlign w:val="center"/>
          </w:tcPr>
          <w:p w14:paraId="79EF1181">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4</w:t>
            </w:r>
          </w:p>
        </w:tc>
        <w:tc>
          <w:tcPr>
            <w:tcW w:w="1631" w:type="dxa"/>
            <w:gridSpan w:val="3"/>
            <w:noWrap w:val="0"/>
            <w:vAlign w:val="center"/>
          </w:tcPr>
          <w:p w14:paraId="31318268">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年末“流动资产”余额（万）</w:t>
            </w:r>
          </w:p>
        </w:tc>
        <w:tc>
          <w:tcPr>
            <w:tcW w:w="2504" w:type="dxa"/>
            <w:gridSpan w:val="2"/>
            <w:noWrap w:val="0"/>
            <w:vAlign w:val="center"/>
          </w:tcPr>
          <w:p w14:paraId="2C6EC571">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1F1E6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jc w:val="center"/>
        </w:trPr>
        <w:tc>
          <w:tcPr>
            <w:tcW w:w="964" w:type="dxa"/>
            <w:noWrap w:val="0"/>
            <w:vAlign w:val="center"/>
          </w:tcPr>
          <w:p w14:paraId="5FDEA332">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5</w:t>
            </w:r>
          </w:p>
        </w:tc>
        <w:tc>
          <w:tcPr>
            <w:tcW w:w="1425" w:type="dxa"/>
            <w:noWrap w:val="0"/>
            <w:vAlign w:val="center"/>
          </w:tcPr>
          <w:p w14:paraId="0E0A35DC">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年末“短期负债”余额（万）</w:t>
            </w:r>
          </w:p>
        </w:tc>
        <w:tc>
          <w:tcPr>
            <w:tcW w:w="1980" w:type="dxa"/>
            <w:gridSpan w:val="2"/>
            <w:noWrap w:val="0"/>
            <w:vAlign w:val="center"/>
          </w:tcPr>
          <w:p w14:paraId="38C516BF">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c>
          <w:tcPr>
            <w:tcW w:w="861" w:type="dxa"/>
            <w:noWrap w:val="0"/>
            <w:vAlign w:val="center"/>
          </w:tcPr>
          <w:p w14:paraId="387BDBBC">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6</w:t>
            </w:r>
          </w:p>
        </w:tc>
        <w:tc>
          <w:tcPr>
            <w:tcW w:w="1631" w:type="dxa"/>
            <w:gridSpan w:val="3"/>
            <w:noWrap w:val="0"/>
            <w:vAlign w:val="center"/>
          </w:tcPr>
          <w:p w14:paraId="7572A9D6">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年末“长期负债”余额（万）</w:t>
            </w:r>
          </w:p>
        </w:tc>
        <w:tc>
          <w:tcPr>
            <w:tcW w:w="2504" w:type="dxa"/>
            <w:gridSpan w:val="2"/>
            <w:noWrap w:val="0"/>
            <w:vAlign w:val="center"/>
          </w:tcPr>
          <w:p w14:paraId="65E4BC0F">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0DE81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jc w:val="center"/>
        </w:trPr>
        <w:tc>
          <w:tcPr>
            <w:tcW w:w="964" w:type="dxa"/>
            <w:noWrap w:val="0"/>
            <w:vAlign w:val="center"/>
          </w:tcPr>
          <w:p w14:paraId="63DF5901">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7</w:t>
            </w:r>
          </w:p>
        </w:tc>
        <w:tc>
          <w:tcPr>
            <w:tcW w:w="1425" w:type="dxa"/>
            <w:noWrap w:val="0"/>
            <w:vAlign w:val="center"/>
          </w:tcPr>
          <w:p w14:paraId="1CDE0F99">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年末“资产总计”余额（万）</w:t>
            </w:r>
          </w:p>
        </w:tc>
        <w:tc>
          <w:tcPr>
            <w:tcW w:w="1980" w:type="dxa"/>
            <w:gridSpan w:val="2"/>
            <w:noWrap w:val="0"/>
            <w:vAlign w:val="center"/>
          </w:tcPr>
          <w:p w14:paraId="5819C500">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c>
          <w:tcPr>
            <w:tcW w:w="861" w:type="dxa"/>
            <w:noWrap w:val="0"/>
            <w:vAlign w:val="center"/>
          </w:tcPr>
          <w:p w14:paraId="27BED018">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8</w:t>
            </w:r>
          </w:p>
        </w:tc>
        <w:tc>
          <w:tcPr>
            <w:tcW w:w="1631" w:type="dxa"/>
            <w:gridSpan w:val="3"/>
            <w:noWrap w:val="0"/>
            <w:vAlign w:val="center"/>
          </w:tcPr>
          <w:p w14:paraId="1829EB3D">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年末“货币资金”余额（万）</w:t>
            </w:r>
          </w:p>
        </w:tc>
        <w:tc>
          <w:tcPr>
            <w:tcW w:w="2504" w:type="dxa"/>
            <w:gridSpan w:val="2"/>
            <w:noWrap w:val="0"/>
            <w:vAlign w:val="center"/>
          </w:tcPr>
          <w:p w14:paraId="313DD98B">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58381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964" w:type="dxa"/>
            <w:shd w:val="clear" w:color="auto" w:fill="D9D9D9"/>
            <w:noWrap w:val="0"/>
            <w:vAlign w:val="center"/>
          </w:tcPr>
          <w:p w14:paraId="65FEABD9">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三</w:t>
            </w:r>
          </w:p>
        </w:tc>
        <w:tc>
          <w:tcPr>
            <w:tcW w:w="8402" w:type="dxa"/>
            <w:gridSpan w:val="9"/>
            <w:shd w:val="clear" w:color="auto" w:fill="D9D9D9"/>
            <w:noWrap w:val="0"/>
            <w:vAlign w:val="center"/>
          </w:tcPr>
          <w:p w14:paraId="2F0D7A6A">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供应商其他信息</w:t>
            </w:r>
          </w:p>
        </w:tc>
      </w:tr>
      <w:tr w14:paraId="48016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jc w:val="center"/>
        </w:trPr>
        <w:tc>
          <w:tcPr>
            <w:tcW w:w="964" w:type="dxa"/>
            <w:noWrap w:val="0"/>
            <w:vAlign w:val="center"/>
          </w:tcPr>
          <w:p w14:paraId="1D75DAF5">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（一）</w:t>
            </w:r>
          </w:p>
        </w:tc>
        <w:tc>
          <w:tcPr>
            <w:tcW w:w="1425" w:type="dxa"/>
            <w:noWrap w:val="0"/>
            <w:vAlign w:val="center"/>
          </w:tcPr>
          <w:p w14:paraId="19936EBA">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公司取得的相关资质及等级：</w:t>
            </w:r>
          </w:p>
        </w:tc>
        <w:tc>
          <w:tcPr>
            <w:tcW w:w="6977" w:type="dxa"/>
            <w:gridSpan w:val="8"/>
            <w:noWrap w:val="0"/>
            <w:vAlign w:val="center"/>
          </w:tcPr>
          <w:p w14:paraId="3757CD87">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7AAFD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jc w:val="center"/>
        </w:trPr>
        <w:tc>
          <w:tcPr>
            <w:tcW w:w="964" w:type="dxa"/>
            <w:noWrap w:val="0"/>
            <w:vAlign w:val="center"/>
          </w:tcPr>
          <w:p w14:paraId="5CDB73BA">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（二）</w:t>
            </w:r>
          </w:p>
        </w:tc>
        <w:tc>
          <w:tcPr>
            <w:tcW w:w="1425" w:type="dxa"/>
            <w:noWrap w:val="0"/>
            <w:vAlign w:val="center"/>
          </w:tcPr>
          <w:p w14:paraId="0976AA03">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r>
              <w:rPr>
                <w:rStyle w:val="192"/>
                <w:rFonts w:hint="eastAsia" w:ascii="宋体" w:hAnsi="宋体" w:eastAsia="宋体" w:cs="宋体"/>
                <w:color w:val="auto"/>
                <w:sz w:val="20"/>
                <w:szCs w:val="20"/>
                <w:highlight w:val="none"/>
                <w:lang w:val="en-US" w:eastAsia="zh-CN" w:bidi="ar-SA"/>
              </w:rPr>
              <w:t>公司</w:t>
            </w:r>
            <w:r>
              <w:rPr>
                <w:rStyle w:val="192"/>
                <w:rFonts w:hint="eastAsia" w:ascii="宋体" w:hAnsi="宋体" w:eastAsia="宋体" w:cs="宋体"/>
                <w:b/>
                <w:color w:val="auto"/>
                <w:sz w:val="20"/>
                <w:szCs w:val="20"/>
                <w:highlight w:val="none"/>
                <w:u w:val="single"/>
                <w:lang w:val="en-US" w:eastAsia="zh-CN" w:bidi="ar-SA"/>
              </w:rPr>
              <w:t>××××</w:t>
            </w:r>
            <w:r>
              <w:rPr>
                <w:rStyle w:val="192"/>
                <w:rFonts w:hint="eastAsia" w:ascii="宋体" w:hAnsi="宋体" w:eastAsia="宋体" w:cs="宋体"/>
                <w:color w:val="auto"/>
                <w:sz w:val="20"/>
                <w:szCs w:val="20"/>
                <w:highlight w:val="none"/>
                <w:lang w:val="en-US" w:eastAsia="zh-CN" w:bidi="ar-SA"/>
              </w:rPr>
              <w:t>年度后获得的荣誉及表彰情况</w:t>
            </w:r>
          </w:p>
        </w:tc>
        <w:tc>
          <w:tcPr>
            <w:tcW w:w="6977" w:type="dxa"/>
            <w:gridSpan w:val="8"/>
            <w:noWrap w:val="0"/>
            <w:vAlign w:val="center"/>
          </w:tcPr>
          <w:p w14:paraId="06CDDD68">
            <w:pPr>
              <w:pStyle w:val="266"/>
              <w:keepNext w:val="0"/>
              <w:keepLines w:val="0"/>
              <w:pageBreakBefore w:val="0"/>
              <w:widowControl w:val="0"/>
              <w:spacing w:line="240" w:lineRule="auto"/>
              <w:jc w:val="center"/>
              <w:rPr>
                <w:rStyle w:val="192"/>
                <w:rFonts w:hint="eastAsia" w:ascii="宋体" w:hAnsi="宋体" w:eastAsia="宋体" w:cs="宋体"/>
                <w:color w:val="auto"/>
                <w:sz w:val="20"/>
                <w:szCs w:val="20"/>
                <w:highlight w:val="none"/>
              </w:rPr>
            </w:pPr>
          </w:p>
        </w:tc>
      </w:tr>
      <w:tr w14:paraId="08B8F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964" w:type="dxa"/>
            <w:shd w:val="clear" w:color="auto" w:fill="BFBFBF"/>
            <w:noWrap w:val="0"/>
            <w:vAlign w:val="center"/>
          </w:tcPr>
          <w:p w14:paraId="127B91ED">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四</w:t>
            </w:r>
          </w:p>
        </w:tc>
        <w:tc>
          <w:tcPr>
            <w:tcW w:w="8402" w:type="dxa"/>
            <w:gridSpan w:val="9"/>
            <w:shd w:val="clear" w:color="auto" w:fill="BFBFBF"/>
            <w:noWrap w:val="0"/>
            <w:vAlign w:val="center"/>
          </w:tcPr>
          <w:p w14:paraId="25AEEFFF">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 xml:space="preserve">提供本项目服务所必须的专业设备一览表 </w:t>
            </w:r>
          </w:p>
        </w:tc>
      </w:tr>
      <w:tr w14:paraId="271F3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964" w:type="dxa"/>
            <w:shd w:val="clear" w:color="auto" w:fill="FFFFFF"/>
            <w:noWrap w:val="0"/>
            <w:vAlign w:val="center"/>
          </w:tcPr>
          <w:p w14:paraId="0F448B1A">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序号</w:t>
            </w:r>
          </w:p>
        </w:tc>
        <w:tc>
          <w:tcPr>
            <w:tcW w:w="3280" w:type="dxa"/>
            <w:gridSpan w:val="2"/>
            <w:shd w:val="clear" w:color="auto" w:fill="FFFFFF"/>
            <w:noWrap w:val="0"/>
            <w:vAlign w:val="center"/>
          </w:tcPr>
          <w:p w14:paraId="7211468E">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品牌、型号及主要参数配置简述</w:t>
            </w:r>
          </w:p>
        </w:tc>
        <w:tc>
          <w:tcPr>
            <w:tcW w:w="1105" w:type="dxa"/>
            <w:gridSpan w:val="3"/>
            <w:shd w:val="clear" w:color="auto" w:fill="FFFFFF"/>
            <w:noWrap w:val="0"/>
            <w:vAlign w:val="center"/>
          </w:tcPr>
          <w:p w14:paraId="4A4F1538">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购置年份</w:t>
            </w:r>
          </w:p>
        </w:tc>
        <w:tc>
          <w:tcPr>
            <w:tcW w:w="561" w:type="dxa"/>
            <w:shd w:val="clear" w:color="auto" w:fill="FFFFFF"/>
            <w:noWrap w:val="0"/>
            <w:vAlign w:val="center"/>
          </w:tcPr>
          <w:p w14:paraId="6C4BBA0F">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价格</w:t>
            </w:r>
          </w:p>
        </w:tc>
        <w:tc>
          <w:tcPr>
            <w:tcW w:w="1169" w:type="dxa"/>
            <w:gridSpan w:val="2"/>
            <w:shd w:val="clear" w:color="auto" w:fill="FFFFFF"/>
            <w:noWrap w:val="0"/>
            <w:vAlign w:val="center"/>
          </w:tcPr>
          <w:p w14:paraId="57E805A5">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数量</w:t>
            </w:r>
          </w:p>
        </w:tc>
        <w:tc>
          <w:tcPr>
            <w:tcW w:w="2287" w:type="dxa"/>
            <w:shd w:val="clear" w:color="auto" w:fill="FFFFFF"/>
            <w:noWrap w:val="0"/>
            <w:vAlign w:val="center"/>
          </w:tcPr>
          <w:p w14:paraId="75DB87F7">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用途</w:t>
            </w:r>
          </w:p>
        </w:tc>
      </w:tr>
      <w:tr w14:paraId="226E7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964" w:type="dxa"/>
            <w:shd w:val="clear" w:color="auto" w:fill="FFFFFF"/>
            <w:noWrap w:val="0"/>
            <w:vAlign w:val="center"/>
          </w:tcPr>
          <w:p w14:paraId="5683E096">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1</w:t>
            </w:r>
          </w:p>
        </w:tc>
        <w:tc>
          <w:tcPr>
            <w:tcW w:w="3280" w:type="dxa"/>
            <w:gridSpan w:val="2"/>
            <w:shd w:val="clear" w:color="auto" w:fill="FFFFFF"/>
            <w:noWrap w:val="0"/>
            <w:vAlign w:val="center"/>
          </w:tcPr>
          <w:p w14:paraId="059FD61B">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1105" w:type="dxa"/>
            <w:gridSpan w:val="3"/>
            <w:shd w:val="clear" w:color="auto" w:fill="FFFFFF"/>
            <w:noWrap w:val="0"/>
            <w:vAlign w:val="center"/>
          </w:tcPr>
          <w:p w14:paraId="277B6A0E">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561" w:type="dxa"/>
            <w:shd w:val="clear" w:color="auto" w:fill="FFFFFF"/>
            <w:noWrap w:val="0"/>
            <w:vAlign w:val="center"/>
          </w:tcPr>
          <w:p w14:paraId="7C3BCD60">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1169" w:type="dxa"/>
            <w:gridSpan w:val="2"/>
            <w:shd w:val="clear" w:color="auto" w:fill="FFFFFF"/>
            <w:noWrap w:val="0"/>
            <w:vAlign w:val="center"/>
          </w:tcPr>
          <w:p w14:paraId="78890DEC">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2287" w:type="dxa"/>
            <w:shd w:val="clear" w:color="auto" w:fill="FFFFFF"/>
            <w:noWrap w:val="0"/>
            <w:vAlign w:val="center"/>
          </w:tcPr>
          <w:p w14:paraId="7B6D8C57">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r>
      <w:tr w14:paraId="27A92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964" w:type="dxa"/>
            <w:shd w:val="clear" w:color="auto" w:fill="FFFFFF"/>
            <w:noWrap w:val="0"/>
            <w:vAlign w:val="center"/>
          </w:tcPr>
          <w:p w14:paraId="767C05AB">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2</w:t>
            </w:r>
          </w:p>
        </w:tc>
        <w:tc>
          <w:tcPr>
            <w:tcW w:w="3280" w:type="dxa"/>
            <w:gridSpan w:val="2"/>
            <w:shd w:val="clear" w:color="auto" w:fill="FFFFFF"/>
            <w:noWrap w:val="0"/>
            <w:vAlign w:val="center"/>
          </w:tcPr>
          <w:p w14:paraId="0818B67B">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1105" w:type="dxa"/>
            <w:gridSpan w:val="3"/>
            <w:shd w:val="clear" w:color="auto" w:fill="FFFFFF"/>
            <w:noWrap w:val="0"/>
            <w:vAlign w:val="center"/>
          </w:tcPr>
          <w:p w14:paraId="517F8B7F">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561" w:type="dxa"/>
            <w:shd w:val="clear" w:color="auto" w:fill="FFFFFF"/>
            <w:noWrap w:val="0"/>
            <w:vAlign w:val="center"/>
          </w:tcPr>
          <w:p w14:paraId="1CB2844C">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1169" w:type="dxa"/>
            <w:gridSpan w:val="2"/>
            <w:shd w:val="clear" w:color="auto" w:fill="FFFFFF"/>
            <w:noWrap w:val="0"/>
            <w:vAlign w:val="center"/>
          </w:tcPr>
          <w:p w14:paraId="521D47C1">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2287" w:type="dxa"/>
            <w:shd w:val="clear" w:color="auto" w:fill="FFFFFF"/>
            <w:noWrap w:val="0"/>
            <w:vAlign w:val="center"/>
          </w:tcPr>
          <w:p w14:paraId="1CB4D153">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r>
      <w:tr w14:paraId="563F8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964" w:type="dxa"/>
            <w:shd w:val="clear" w:color="auto" w:fill="FFFFFF"/>
            <w:noWrap w:val="0"/>
            <w:vAlign w:val="center"/>
          </w:tcPr>
          <w:p w14:paraId="12708C8E">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3</w:t>
            </w:r>
          </w:p>
        </w:tc>
        <w:tc>
          <w:tcPr>
            <w:tcW w:w="3280" w:type="dxa"/>
            <w:gridSpan w:val="2"/>
            <w:shd w:val="clear" w:color="auto" w:fill="FFFFFF"/>
            <w:noWrap w:val="0"/>
            <w:vAlign w:val="center"/>
          </w:tcPr>
          <w:p w14:paraId="2D069CE6">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1105" w:type="dxa"/>
            <w:gridSpan w:val="3"/>
            <w:shd w:val="clear" w:color="auto" w:fill="FFFFFF"/>
            <w:noWrap w:val="0"/>
            <w:vAlign w:val="center"/>
          </w:tcPr>
          <w:p w14:paraId="4CD5DC3F">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561" w:type="dxa"/>
            <w:shd w:val="clear" w:color="auto" w:fill="FFFFFF"/>
            <w:noWrap w:val="0"/>
            <w:vAlign w:val="center"/>
          </w:tcPr>
          <w:p w14:paraId="5F3F6EB2">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1169" w:type="dxa"/>
            <w:gridSpan w:val="2"/>
            <w:shd w:val="clear" w:color="auto" w:fill="FFFFFF"/>
            <w:noWrap w:val="0"/>
            <w:vAlign w:val="center"/>
          </w:tcPr>
          <w:p w14:paraId="016BBD6E">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2287" w:type="dxa"/>
            <w:shd w:val="clear" w:color="auto" w:fill="FFFFFF"/>
            <w:noWrap w:val="0"/>
            <w:vAlign w:val="center"/>
          </w:tcPr>
          <w:p w14:paraId="6D0A1254">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r>
      <w:tr w14:paraId="11081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964" w:type="dxa"/>
            <w:shd w:val="clear" w:color="auto" w:fill="FFFFFF"/>
            <w:noWrap w:val="0"/>
            <w:vAlign w:val="center"/>
          </w:tcPr>
          <w:p w14:paraId="4FF080EA">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w:t>
            </w:r>
          </w:p>
        </w:tc>
        <w:tc>
          <w:tcPr>
            <w:tcW w:w="3280" w:type="dxa"/>
            <w:gridSpan w:val="2"/>
            <w:shd w:val="clear" w:color="auto" w:fill="FFFFFF"/>
            <w:noWrap w:val="0"/>
            <w:vAlign w:val="center"/>
          </w:tcPr>
          <w:p w14:paraId="5AB6507C">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1105" w:type="dxa"/>
            <w:gridSpan w:val="3"/>
            <w:shd w:val="clear" w:color="auto" w:fill="FFFFFF"/>
            <w:noWrap w:val="0"/>
            <w:vAlign w:val="center"/>
          </w:tcPr>
          <w:p w14:paraId="23969B75">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561" w:type="dxa"/>
            <w:shd w:val="clear" w:color="auto" w:fill="FFFFFF"/>
            <w:noWrap w:val="0"/>
            <w:vAlign w:val="center"/>
          </w:tcPr>
          <w:p w14:paraId="0EC44DCC">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1169" w:type="dxa"/>
            <w:gridSpan w:val="2"/>
            <w:shd w:val="clear" w:color="auto" w:fill="FFFFFF"/>
            <w:noWrap w:val="0"/>
            <w:vAlign w:val="center"/>
          </w:tcPr>
          <w:p w14:paraId="3CB5996A">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c>
          <w:tcPr>
            <w:tcW w:w="2287" w:type="dxa"/>
            <w:shd w:val="clear" w:color="auto" w:fill="FFFFFF"/>
            <w:noWrap w:val="0"/>
            <w:vAlign w:val="center"/>
          </w:tcPr>
          <w:p w14:paraId="060DE734">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r>
      <w:tr w14:paraId="03DB6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964" w:type="dxa"/>
            <w:shd w:val="clear" w:color="auto" w:fill="BFBFBF"/>
            <w:noWrap w:val="0"/>
            <w:vAlign w:val="center"/>
          </w:tcPr>
          <w:p w14:paraId="504C4076">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五</w:t>
            </w:r>
          </w:p>
        </w:tc>
        <w:tc>
          <w:tcPr>
            <w:tcW w:w="8402" w:type="dxa"/>
            <w:gridSpan w:val="9"/>
            <w:shd w:val="clear" w:color="auto" w:fill="BFBFBF"/>
            <w:noWrap w:val="0"/>
            <w:vAlign w:val="center"/>
          </w:tcPr>
          <w:p w14:paraId="2AD7351B">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r>
              <w:rPr>
                <w:rStyle w:val="192"/>
                <w:rFonts w:hint="eastAsia" w:ascii="宋体" w:hAnsi="宋体" w:eastAsia="宋体" w:cs="宋体"/>
                <w:b/>
                <w:color w:val="auto"/>
                <w:sz w:val="20"/>
                <w:szCs w:val="20"/>
                <w:highlight w:val="none"/>
                <w:lang w:val="en-US" w:eastAsia="zh-CN" w:bidi="ar-SA"/>
              </w:rPr>
              <w:t>提供本项目服务所必须的专业技术能力</w:t>
            </w:r>
          </w:p>
        </w:tc>
      </w:tr>
      <w:tr w14:paraId="5376E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jc w:val="center"/>
        </w:trPr>
        <w:tc>
          <w:tcPr>
            <w:tcW w:w="9366" w:type="dxa"/>
            <w:gridSpan w:val="10"/>
            <w:shd w:val="clear" w:color="auto" w:fill="FFFFFF"/>
            <w:noWrap w:val="0"/>
            <w:vAlign w:val="center"/>
          </w:tcPr>
          <w:p w14:paraId="5931AE21">
            <w:pPr>
              <w:pStyle w:val="266"/>
              <w:keepNext w:val="0"/>
              <w:keepLines w:val="0"/>
              <w:pageBreakBefore w:val="0"/>
              <w:widowControl w:val="0"/>
              <w:spacing w:line="240" w:lineRule="auto"/>
              <w:jc w:val="center"/>
              <w:rPr>
                <w:rStyle w:val="192"/>
                <w:rFonts w:hint="eastAsia" w:ascii="宋体" w:hAnsi="宋体" w:eastAsia="宋体" w:cs="宋体"/>
                <w:b/>
                <w:color w:val="auto"/>
                <w:sz w:val="20"/>
                <w:szCs w:val="20"/>
                <w:highlight w:val="none"/>
              </w:rPr>
            </w:pPr>
          </w:p>
        </w:tc>
      </w:tr>
    </w:tbl>
    <w:p w14:paraId="5EAA8160">
      <w:pPr>
        <w:pStyle w:val="266"/>
        <w:widowControl/>
        <w:spacing w:line="400" w:lineRule="exact"/>
        <w:jc w:val="left"/>
        <w:rPr>
          <w:rStyle w:val="192"/>
          <w:rFonts w:ascii="宋体" w:hAnsi="宋体" w:eastAsia="宋体" w:cs="Times New Roman"/>
          <w:b/>
          <w:bCs/>
          <w:color w:val="auto"/>
          <w:sz w:val="32"/>
          <w:szCs w:val="32"/>
          <w:highlight w:val="none"/>
        </w:rPr>
      </w:pPr>
    </w:p>
    <w:p w14:paraId="6D6F7E5E">
      <w:pPr>
        <w:pStyle w:val="266"/>
        <w:spacing w:line="360" w:lineRule="auto"/>
        <w:rPr>
          <w:rStyle w:val="192"/>
          <w:rFonts w:ascii="宋体" w:hAnsi="宋体" w:eastAsia="宋体" w:cs="Times New Roman"/>
          <w:color w:val="auto"/>
          <w:sz w:val="24"/>
          <w:highlight w:val="none"/>
          <w:u w:val="single"/>
        </w:rPr>
      </w:pPr>
      <w:r>
        <w:rPr>
          <w:rStyle w:val="192"/>
          <w:rFonts w:hint="eastAsia" w:ascii="宋体" w:hAnsi="宋体" w:eastAsia="宋体" w:cs="Times New Roman"/>
          <w:color w:val="auto"/>
          <w:sz w:val="24"/>
          <w:highlight w:val="none"/>
        </w:rPr>
        <w:t>注：1、</w:t>
      </w:r>
      <w:r>
        <w:rPr>
          <w:rStyle w:val="192"/>
          <w:rFonts w:hint="eastAsia" w:ascii="宋体" w:hAnsi="宋体" w:eastAsia="宋体" w:cs="Times New Roman"/>
          <w:color w:val="auto"/>
          <w:sz w:val="24"/>
          <w:highlight w:val="none"/>
          <w:u w:val="single"/>
        </w:rPr>
        <w:t>如行数不够请自行添加。</w:t>
      </w:r>
    </w:p>
    <w:p w14:paraId="76CE7D47">
      <w:pPr>
        <w:pStyle w:val="267"/>
        <w:jc w:val="center"/>
        <w:outlineLvl w:val="2"/>
        <w:rPr>
          <w:rStyle w:val="192"/>
          <w:rFonts w:ascii="Times New Roman" w:hAnsi="Times New Roman" w:eastAsia="Times New Roman" w:cs="Times New Roman"/>
          <w:color w:val="auto"/>
          <w:highlight w:val="none"/>
        </w:rPr>
      </w:pPr>
      <w:r>
        <w:rPr>
          <w:rStyle w:val="192"/>
          <w:rFonts w:ascii="Times New Roman" w:hAnsi="Times New Roman" w:eastAsia="Times New Roman" w:cs="Times New Roman"/>
          <w:color w:val="auto"/>
          <w:highlight w:val="none"/>
        </w:rPr>
        <w:br w:type="page" w:clear="all"/>
      </w:r>
      <w:bookmarkStart w:id="589" w:name="_Toc17312"/>
      <w:r>
        <w:rPr>
          <w:rStyle w:val="192"/>
          <w:rFonts w:ascii="宋体" w:hAnsi="宋体" w:eastAsia="宋体" w:cs="宋体"/>
          <w:b/>
          <w:bCs/>
          <w:color w:val="auto"/>
          <w:sz w:val="28"/>
          <w:szCs w:val="24"/>
          <w:highlight w:val="none"/>
        </w:rPr>
        <w:t>(五)依法缴纳税收和社会保障资金的良好记录</w:t>
      </w:r>
      <w:bookmarkEnd w:id="589"/>
    </w:p>
    <w:p w14:paraId="1BC4186E">
      <w:pPr>
        <w:pStyle w:val="269"/>
        <w:jc w:val="center"/>
        <w:outlineLvl w:val="2"/>
        <w:rPr>
          <w:rStyle w:val="192"/>
          <w:rFonts w:ascii="Times New Roman" w:hAnsi="Times New Roman" w:eastAsia="Times New Roman" w:cs="Times New Roman"/>
          <w:color w:val="auto"/>
          <w:highlight w:val="none"/>
        </w:rPr>
      </w:pPr>
      <w:bookmarkStart w:id="590" w:name="_Toc10320"/>
      <w:r>
        <w:rPr>
          <w:rStyle w:val="192"/>
          <w:rFonts w:ascii="宋体" w:hAnsi="宋体" w:eastAsia="宋体" w:cs="宋体"/>
          <w:b w:val="0"/>
          <w:color w:val="auto"/>
          <w:sz w:val="24"/>
          <w:szCs w:val="32"/>
          <w:highlight w:val="none"/>
        </w:rPr>
        <w:t>提供参加本次政府采购活动前一年内</w:t>
      </w:r>
      <w:r>
        <w:rPr>
          <w:rStyle w:val="192"/>
          <w:rFonts w:hint="eastAsia" w:ascii="宋体" w:hAnsi="宋体" w:eastAsia="宋体" w:cs="宋体"/>
          <w:b w:val="0"/>
          <w:color w:val="auto"/>
          <w:sz w:val="24"/>
          <w:szCs w:val="32"/>
          <w:highlight w:val="none"/>
          <w:lang w:eastAsia="zh-CN"/>
        </w:rPr>
        <w:t>至少一个月依法缴纳税收和社会保险的凭据；或提供采购文件要求提供资格承诺函。</w:t>
      </w:r>
      <w:r>
        <w:rPr>
          <w:rStyle w:val="192"/>
          <w:rFonts w:ascii="Times New Roman" w:hAnsi="Times New Roman" w:eastAsia="Times New Roman" w:cs="Times New Roman"/>
          <w:color w:val="auto"/>
          <w:highlight w:val="none"/>
        </w:rPr>
        <w:br w:type="page" w:clear="all"/>
      </w:r>
      <w:r>
        <w:rPr>
          <w:rStyle w:val="192"/>
          <w:rFonts w:ascii="宋体" w:hAnsi="宋体" w:eastAsia="宋体" w:cs="宋体"/>
          <w:b/>
          <w:bCs/>
          <w:color w:val="auto"/>
          <w:sz w:val="28"/>
          <w:highlight w:val="none"/>
        </w:rPr>
        <w:t>(六)落实政府采购政策需满足的资格要求</w:t>
      </w:r>
      <w:bookmarkEnd w:id="590"/>
    </w:p>
    <w:p w14:paraId="3E009A4A">
      <w:pPr>
        <w:pStyle w:val="307"/>
        <w:keepNext w:val="0"/>
        <w:keepLines w:val="0"/>
        <w:pageBreakBefore w:val="0"/>
        <w:widowControl w:val="0"/>
        <w:spacing w:after="157" w:line="360" w:lineRule="auto"/>
        <w:jc w:val="center"/>
        <w:rPr>
          <w:rStyle w:val="192"/>
          <w:rFonts w:hint="eastAsia" w:ascii="宋体" w:hAnsi="宋体" w:eastAsia="宋体" w:cs="Times New Roman"/>
          <w:color w:val="auto"/>
          <w:sz w:val="22"/>
          <w:szCs w:val="22"/>
          <w:highlight w:val="none"/>
        </w:rPr>
      </w:pPr>
      <w:r>
        <w:rPr>
          <w:rStyle w:val="192"/>
          <w:rFonts w:hint="eastAsia" w:ascii="宋体" w:hAnsi="宋体" w:eastAsia="宋体" w:cs="Times New Roman"/>
          <w:b/>
          <w:bCs/>
          <w:color w:val="auto"/>
          <w:sz w:val="24"/>
          <w:szCs w:val="24"/>
          <w:highlight w:val="none"/>
          <w:lang w:eastAsia="zh-CN"/>
        </w:rPr>
        <w:t>中小企业声明函</w:t>
      </w:r>
    </w:p>
    <w:p w14:paraId="7DF1DCCD">
      <w:pPr>
        <w:pStyle w:val="307"/>
        <w:spacing w:line="360" w:lineRule="auto"/>
        <w:ind w:firstLine="440"/>
        <w:jc w:val="left"/>
        <w:rPr>
          <w:rStyle w:val="192"/>
          <w:rFonts w:ascii="宋体" w:hAnsi="宋体" w:eastAsia="宋体" w:cs="Times New Roman"/>
          <w:color w:val="auto"/>
          <w:sz w:val="22"/>
          <w:szCs w:val="22"/>
          <w:highlight w:val="none"/>
        </w:rPr>
      </w:pPr>
      <w:r>
        <w:rPr>
          <w:rStyle w:val="192"/>
          <w:rFonts w:ascii="宋体" w:hAnsi="宋体" w:eastAsia="宋体" w:cs="Times New Roman"/>
          <w:color w:val="auto"/>
          <w:sz w:val="22"/>
          <w:szCs w:val="22"/>
          <w:highlight w:val="none"/>
        </w:rPr>
        <w:t>本公司（联合体）郑重声明，根据《政府采购促进中小企业发展管理办法》（财库﹝2020﹞46号）的规定，本公司 （联合体）参加</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hint="eastAsia" w:ascii="宋体" w:hAnsi="宋体" w:cs="Times New Roman"/>
          <w:color w:val="auto"/>
          <w:sz w:val="22"/>
          <w:szCs w:val="22"/>
          <w:highlight w:val="none"/>
          <w:u w:val="single"/>
          <w:lang w:val="en-US" w:eastAsia="zh-CN"/>
        </w:rPr>
        <w:t>丹阳市正则高级中学</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rPr>
        <w:t>的</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hint="eastAsia" w:ascii="宋体" w:hAnsi="宋体" w:cs="Times New Roman"/>
          <w:color w:val="auto"/>
          <w:sz w:val="22"/>
          <w:szCs w:val="22"/>
          <w:highlight w:val="none"/>
          <w:u w:val="single"/>
          <w:lang w:val="en-US" w:eastAsia="zh-CN"/>
        </w:rPr>
        <w:t>丹阳市正则高级中学宿舍修缮出新项目</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rPr>
        <w:t>采购活动，</w:t>
      </w:r>
      <w:r>
        <w:rPr>
          <w:rStyle w:val="192"/>
          <w:rFonts w:hint="eastAsia" w:ascii="宋体" w:hAnsi="宋体" w:eastAsia="宋体" w:cs="Times New Roman"/>
          <w:color w:val="auto"/>
          <w:sz w:val="22"/>
          <w:szCs w:val="22"/>
          <w:highlight w:val="none"/>
        </w:rPr>
        <w:t>工程的施工单位全部为符合政策要求的中小企业</w:t>
      </w:r>
      <w:r>
        <w:rPr>
          <w:rStyle w:val="192"/>
          <w:rFonts w:ascii="宋体" w:hAnsi="宋体" w:eastAsia="宋体" w:cs="Times New Roman"/>
          <w:color w:val="auto"/>
          <w:sz w:val="22"/>
          <w:szCs w:val="22"/>
          <w:highlight w:val="none"/>
        </w:rPr>
        <w:t>。相关企业（含联合体中的中小企业、签订分包意向协议的中小企业）的具体情况如下：</w:t>
      </w:r>
    </w:p>
    <w:p w14:paraId="52517EFE">
      <w:pPr>
        <w:pStyle w:val="307"/>
        <w:spacing w:line="360" w:lineRule="auto"/>
        <w:ind w:firstLine="440"/>
        <w:jc w:val="left"/>
        <w:rPr>
          <w:rStyle w:val="192"/>
          <w:rFonts w:ascii="宋体" w:hAnsi="宋体" w:eastAsia="宋体" w:cs="Times New Roman"/>
          <w:color w:val="auto"/>
          <w:sz w:val="22"/>
          <w:szCs w:val="22"/>
          <w:highlight w:val="none"/>
        </w:rPr>
      </w:pPr>
      <w:r>
        <w:rPr>
          <w:rStyle w:val="192"/>
          <w:rFonts w:ascii="宋体" w:hAnsi="宋体" w:eastAsia="宋体" w:cs="Times New Roman"/>
          <w:color w:val="auto"/>
          <w:sz w:val="22"/>
          <w:szCs w:val="22"/>
          <w:highlight w:val="none"/>
        </w:rPr>
        <w:t xml:space="preserve"> 1.</w:t>
      </w:r>
      <w:r>
        <w:rPr>
          <w:rStyle w:val="192"/>
          <w:rFonts w:ascii="宋体" w:hAnsi="宋体" w:eastAsia="宋体" w:cs="Times New Roman"/>
          <w:color w:val="auto"/>
          <w:sz w:val="22"/>
          <w:szCs w:val="22"/>
          <w:highlight w:val="none"/>
          <w:u w:val="single"/>
        </w:rPr>
        <w:t xml:space="preserve"> </w:t>
      </w:r>
      <w:r>
        <w:rPr>
          <w:rStyle w:val="192"/>
          <w:rFonts w:hint="eastAsia" w:ascii="宋体" w:hAnsi="宋体" w:cs="Times New Roman"/>
          <w:color w:val="auto"/>
          <w:sz w:val="22"/>
          <w:szCs w:val="22"/>
          <w:highlight w:val="none"/>
          <w:u w:val="single"/>
          <w:lang w:val="en-US" w:eastAsia="zh-CN"/>
        </w:rPr>
        <w:t>丹阳市正则高级中学宿舍修缮出新项目</w:t>
      </w:r>
      <w:r>
        <w:rPr>
          <w:rStyle w:val="192"/>
          <w:rFonts w:ascii="宋体" w:hAnsi="宋体" w:eastAsia="宋体" w:cs="Times New Roman"/>
          <w:color w:val="auto"/>
          <w:sz w:val="22"/>
          <w:szCs w:val="22"/>
          <w:highlight w:val="none"/>
          <w:u w:val="single"/>
        </w:rPr>
        <w:t xml:space="preserve"> </w:t>
      </w:r>
      <w:r>
        <w:rPr>
          <w:rStyle w:val="192"/>
          <w:rFonts w:ascii="宋体" w:hAnsi="宋体" w:eastAsia="宋体" w:cs="Times New Roman"/>
          <w:color w:val="auto"/>
          <w:sz w:val="22"/>
          <w:szCs w:val="22"/>
          <w:highlight w:val="none"/>
        </w:rPr>
        <w:t>，属于</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hint="eastAsia" w:ascii="宋体" w:hAnsi="宋体" w:cs="Times New Roman"/>
          <w:color w:val="auto"/>
          <w:sz w:val="22"/>
          <w:szCs w:val="22"/>
          <w:highlight w:val="none"/>
          <w:u w:val="single"/>
          <w:lang w:eastAsia="zh-CN"/>
        </w:rPr>
        <w:t>建筑业</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rPr>
        <w:t>；承接企业为</w:t>
      </w:r>
      <w:r>
        <w:rPr>
          <w:rStyle w:val="192"/>
          <w:rFonts w:hint="eastAsia" w:ascii="宋体" w:hAnsi="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u w:val="single"/>
        </w:rPr>
        <w:t>（企业名称）</w:t>
      </w:r>
      <w:r>
        <w:rPr>
          <w:rStyle w:val="192"/>
          <w:rFonts w:hint="eastAsia" w:ascii="宋体" w:hAnsi="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rPr>
        <w:t>，从业人员</w:t>
      </w:r>
      <w:r>
        <w:rPr>
          <w:rStyle w:val="192"/>
          <w:rFonts w:hint="eastAsia" w:ascii="宋体" w:hAnsi="宋体" w:eastAsia="宋体" w:cs="Times New Roman"/>
          <w:color w:val="auto"/>
          <w:sz w:val="22"/>
          <w:szCs w:val="22"/>
          <w:highlight w:val="none"/>
          <w:u w:val="single"/>
        </w:rPr>
        <w:t xml:space="preserve">    </w:t>
      </w:r>
      <w:r>
        <w:rPr>
          <w:rStyle w:val="192"/>
          <w:rFonts w:ascii="宋体" w:hAnsi="宋体" w:eastAsia="宋体" w:cs="Times New Roman"/>
          <w:color w:val="auto"/>
          <w:sz w:val="22"/>
          <w:szCs w:val="22"/>
          <w:highlight w:val="none"/>
        </w:rPr>
        <w:t>人，营业 收入为</w:t>
      </w:r>
      <w:r>
        <w:rPr>
          <w:rStyle w:val="192"/>
          <w:rFonts w:hint="eastAsia" w:ascii="宋体" w:hAnsi="宋体" w:eastAsia="宋体" w:cs="Times New Roman"/>
          <w:color w:val="auto"/>
          <w:sz w:val="22"/>
          <w:szCs w:val="22"/>
          <w:highlight w:val="none"/>
          <w:u w:val="single"/>
        </w:rPr>
        <w:t xml:space="preserve">    </w:t>
      </w:r>
      <w:r>
        <w:rPr>
          <w:rStyle w:val="192"/>
          <w:rFonts w:ascii="宋体" w:hAnsi="宋体" w:eastAsia="宋体" w:cs="Times New Roman"/>
          <w:color w:val="auto"/>
          <w:sz w:val="22"/>
          <w:szCs w:val="22"/>
          <w:highlight w:val="none"/>
        </w:rPr>
        <w:t>万元，资产总额为</w:t>
      </w:r>
      <w:r>
        <w:rPr>
          <w:rStyle w:val="192"/>
          <w:rFonts w:hint="eastAsia" w:ascii="宋体" w:hAnsi="宋体" w:eastAsia="宋体" w:cs="Times New Roman"/>
          <w:color w:val="auto"/>
          <w:sz w:val="22"/>
          <w:szCs w:val="22"/>
          <w:highlight w:val="none"/>
          <w:u w:val="single"/>
        </w:rPr>
        <w:t xml:space="preserve">    </w:t>
      </w:r>
      <w:r>
        <w:rPr>
          <w:rStyle w:val="192"/>
          <w:rFonts w:ascii="宋体" w:hAnsi="宋体" w:eastAsia="宋体" w:cs="Times New Roman"/>
          <w:color w:val="auto"/>
          <w:sz w:val="22"/>
          <w:szCs w:val="22"/>
          <w:highlight w:val="none"/>
        </w:rPr>
        <w:t>万元，属于</w:t>
      </w:r>
      <w:r>
        <w:rPr>
          <w:rStyle w:val="192"/>
          <w:rFonts w:hint="eastAsia" w:ascii="宋体" w:hAnsi="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u w:val="single"/>
        </w:rPr>
        <w:t>（中型企业、 小型企业、微型企业）</w:t>
      </w:r>
      <w:r>
        <w:rPr>
          <w:rStyle w:val="192"/>
          <w:rFonts w:hint="eastAsia" w:ascii="宋体" w:hAnsi="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rPr>
        <w:t xml:space="preserve">； </w:t>
      </w:r>
    </w:p>
    <w:p w14:paraId="6F889186">
      <w:pPr>
        <w:pStyle w:val="307"/>
        <w:spacing w:line="360" w:lineRule="auto"/>
        <w:ind w:firstLine="440"/>
        <w:jc w:val="left"/>
        <w:rPr>
          <w:rStyle w:val="192"/>
          <w:rFonts w:ascii="宋体" w:hAnsi="宋体" w:eastAsia="宋体" w:cs="Times New Roman"/>
          <w:color w:val="auto"/>
          <w:sz w:val="22"/>
          <w:szCs w:val="22"/>
          <w:highlight w:val="none"/>
        </w:rPr>
      </w:pPr>
      <w:r>
        <w:rPr>
          <w:rStyle w:val="192"/>
          <w:rFonts w:ascii="宋体" w:hAnsi="宋体" w:eastAsia="宋体" w:cs="Times New Roman"/>
          <w:color w:val="auto"/>
          <w:sz w:val="22"/>
          <w:szCs w:val="22"/>
          <w:highlight w:val="none"/>
        </w:rPr>
        <w:t>2.</w:t>
      </w:r>
      <w:r>
        <w:rPr>
          <w:rStyle w:val="192"/>
          <w:rFonts w:ascii="宋体" w:hAnsi="宋体" w:eastAsia="宋体" w:cs="Times New Roman"/>
          <w:color w:val="auto"/>
          <w:sz w:val="22"/>
          <w:szCs w:val="22"/>
          <w:highlight w:val="none"/>
          <w:u w:val="single"/>
        </w:rPr>
        <w:t xml:space="preserve"> </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u w:val="single"/>
        </w:rPr>
        <w:t>（标的名称）</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u w:val="single"/>
        </w:rPr>
        <w:t xml:space="preserve"> </w:t>
      </w:r>
      <w:r>
        <w:rPr>
          <w:rStyle w:val="192"/>
          <w:rFonts w:ascii="宋体" w:hAnsi="宋体" w:eastAsia="宋体" w:cs="Times New Roman"/>
          <w:color w:val="auto"/>
          <w:sz w:val="22"/>
          <w:szCs w:val="22"/>
          <w:highlight w:val="none"/>
        </w:rPr>
        <w:t>，属于</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u w:val="single"/>
        </w:rPr>
        <w:t>（采购文件中明确的所属行业）</w:t>
      </w:r>
      <w:r>
        <w:rPr>
          <w:rStyle w:val="192"/>
          <w:rFonts w:hint="eastAsia" w:ascii="宋体" w:hAnsi="宋体" w:eastAsia="宋体" w:cs="Times New Roman"/>
          <w:color w:val="auto"/>
          <w:sz w:val="22"/>
          <w:szCs w:val="22"/>
          <w:highlight w:val="none"/>
          <w:u w:val="single"/>
          <w:lang w:val="en-US" w:eastAsia="zh-CN"/>
        </w:rPr>
        <w:t xml:space="preserve">  </w:t>
      </w:r>
      <w:r>
        <w:rPr>
          <w:rStyle w:val="192"/>
          <w:rFonts w:ascii="宋体" w:hAnsi="宋体" w:eastAsia="宋体" w:cs="Times New Roman"/>
          <w:color w:val="auto"/>
          <w:sz w:val="22"/>
          <w:szCs w:val="22"/>
          <w:highlight w:val="none"/>
        </w:rPr>
        <w:t>；承接企业为</w:t>
      </w:r>
      <w:r>
        <w:rPr>
          <w:rStyle w:val="192"/>
          <w:rFonts w:ascii="宋体" w:hAnsi="宋体" w:eastAsia="宋体" w:cs="Times New Roman"/>
          <w:color w:val="auto"/>
          <w:sz w:val="22"/>
          <w:szCs w:val="22"/>
          <w:highlight w:val="none"/>
          <w:u w:val="single"/>
        </w:rPr>
        <w:t>（企业名称）</w:t>
      </w:r>
      <w:r>
        <w:rPr>
          <w:rStyle w:val="192"/>
          <w:rFonts w:ascii="宋体" w:hAnsi="宋体" w:eastAsia="宋体" w:cs="Times New Roman"/>
          <w:color w:val="auto"/>
          <w:sz w:val="22"/>
          <w:szCs w:val="22"/>
          <w:highlight w:val="none"/>
        </w:rPr>
        <w:t>，从业人员</w:t>
      </w:r>
      <w:r>
        <w:rPr>
          <w:rStyle w:val="192"/>
          <w:rFonts w:hint="eastAsia" w:ascii="宋体" w:hAnsi="宋体" w:eastAsia="宋体" w:cs="Times New Roman"/>
          <w:color w:val="auto"/>
          <w:sz w:val="22"/>
          <w:szCs w:val="22"/>
          <w:highlight w:val="none"/>
          <w:u w:val="single"/>
        </w:rPr>
        <w:t xml:space="preserve">    </w:t>
      </w:r>
      <w:r>
        <w:rPr>
          <w:rStyle w:val="192"/>
          <w:rFonts w:ascii="宋体" w:hAnsi="宋体" w:eastAsia="宋体" w:cs="Times New Roman"/>
          <w:color w:val="auto"/>
          <w:sz w:val="22"/>
          <w:szCs w:val="22"/>
          <w:highlight w:val="none"/>
        </w:rPr>
        <w:t>人，营业 收入为</w:t>
      </w:r>
      <w:r>
        <w:rPr>
          <w:rStyle w:val="192"/>
          <w:rFonts w:hint="eastAsia" w:ascii="宋体" w:hAnsi="宋体" w:eastAsia="宋体" w:cs="Times New Roman"/>
          <w:color w:val="auto"/>
          <w:sz w:val="22"/>
          <w:szCs w:val="22"/>
          <w:highlight w:val="none"/>
          <w:u w:val="single"/>
        </w:rPr>
        <w:t xml:space="preserve">    </w:t>
      </w:r>
      <w:r>
        <w:rPr>
          <w:rStyle w:val="192"/>
          <w:rFonts w:ascii="宋体" w:hAnsi="宋体" w:eastAsia="宋体" w:cs="Times New Roman"/>
          <w:color w:val="auto"/>
          <w:sz w:val="22"/>
          <w:szCs w:val="22"/>
          <w:highlight w:val="none"/>
        </w:rPr>
        <w:t>万元，资产总额为</w:t>
      </w:r>
      <w:r>
        <w:rPr>
          <w:rStyle w:val="192"/>
          <w:rFonts w:hint="eastAsia" w:ascii="宋体" w:hAnsi="宋体" w:eastAsia="宋体" w:cs="Times New Roman"/>
          <w:color w:val="auto"/>
          <w:sz w:val="22"/>
          <w:szCs w:val="22"/>
          <w:highlight w:val="none"/>
          <w:u w:val="single"/>
        </w:rPr>
        <w:t xml:space="preserve">    </w:t>
      </w:r>
      <w:r>
        <w:rPr>
          <w:rStyle w:val="192"/>
          <w:rFonts w:ascii="宋体" w:hAnsi="宋体" w:eastAsia="宋体" w:cs="Times New Roman"/>
          <w:color w:val="auto"/>
          <w:sz w:val="22"/>
          <w:szCs w:val="22"/>
          <w:highlight w:val="none"/>
        </w:rPr>
        <w:t>万元，属于</w:t>
      </w:r>
      <w:r>
        <w:rPr>
          <w:rStyle w:val="192"/>
          <w:rFonts w:ascii="宋体" w:hAnsi="宋体" w:eastAsia="宋体" w:cs="Times New Roman"/>
          <w:color w:val="auto"/>
          <w:sz w:val="22"/>
          <w:szCs w:val="22"/>
          <w:highlight w:val="none"/>
          <w:u w:val="single"/>
        </w:rPr>
        <w:t>（中型企业、 小型企业、微型企业）</w:t>
      </w:r>
      <w:r>
        <w:rPr>
          <w:rStyle w:val="192"/>
          <w:rFonts w:ascii="宋体" w:hAnsi="宋体" w:eastAsia="宋体" w:cs="Times New Roman"/>
          <w:color w:val="auto"/>
          <w:sz w:val="22"/>
          <w:szCs w:val="22"/>
          <w:highlight w:val="none"/>
        </w:rPr>
        <w:t xml:space="preserve">； </w:t>
      </w:r>
    </w:p>
    <w:p w14:paraId="24FD31D6">
      <w:pPr>
        <w:pStyle w:val="307"/>
        <w:spacing w:line="360" w:lineRule="auto"/>
        <w:ind w:firstLine="440"/>
        <w:jc w:val="left"/>
        <w:rPr>
          <w:rStyle w:val="192"/>
          <w:rFonts w:ascii="宋体" w:hAnsi="宋体" w:eastAsia="宋体" w:cs="Times New Roman"/>
          <w:color w:val="auto"/>
          <w:sz w:val="22"/>
          <w:szCs w:val="22"/>
          <w:highlight w:val="none"/>
        </w:rPr>
      </w:pPr>
      <w:r>
        <w:rPr>
          <w:rStyle w:val="192"/>
          <w:rFonts w:ascii="宋体" w:hAnsi="宋体" w:eastAsia="宋体" w:cs="Times New Roman"/>
          <w:color w:val="auto"/>
          <w:sz w:val="22"/>
          <w:szCs w:val="22"/>
          <w:highlight w:val="none"/>
        </w:rPr>
        <w:t xml:space="preserve">…… </w:t>
      </w:r>
    </w:p>
    <w:p w14:paraId="28F90453">
      <w:pPr>
        <w:pStyle w:val="307"/>
        <w:spacing w:line="360" w:lineRule="auto"/>
        <w:ind w:firstLine="440"/>
        <w:jc w:val="left"/>
        <w:rPr>
          <w:rStyle w:val="192"/>
          <w:rFonts w:ascii="宋体" w:hAnsi="宋体" w:eastAsia="宋体" w:cs="Times New Roman"/>
          <w:color w:val="auto"/>
          <w:sz w:val="22"/>
          <w:szCs w:val="22"/>
          <w:highlight w:val="none"/>
        </w:rPr>
      </w:pPr>
      <w:r>
        <w:rPr>
          <w:rStyle w:val="192"/>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p>
    <w:p w14:paraId="1345D2F9">
      <w:pPr>
        <w:pStyle w:val="307"/>
        <w:spacing w:line="360" w:lineRule="auto"/>
        <w:ind w:firstLine="440"/>
        <w:jc w:val="left"/>
        <w:rPr>
          <w:rStyle w:val="192"/>
          <w:rFonts w:ascii="宋体" w:hAnsi="宋体" w:eastAsia="宋体" w:cs="Times New Roman"/>
          <w:color w:val="auto"/>
          <w:sz w:val="22"/>
          <w:szCs w:val="22"/>
          <w:highlight w:val="none"/>
        </w:rPr>
      </w:pPr>
      <w:r>
        <w:rPr>
          <w:rStyle w:val="192"/>
          <w:rFonts w:ascii="宋体" w:hAnsi="宋体" w:eastAsia="宋体" w:cs="Times New Roman"/>
          <w:color w:val="auto"/>
          <w:sz w:val="22"/>
          <w:szCs w:val="22"/>
          <w:highlight w:val="none"/>
        </w:rPr>
        <w:t xml:space="preserve">本企业对上述声明内容的真实性负责。如有虚假，将依 法承担相应责任。 </w:t>
      </w:r>
    </w:p>
    <w:p w14:paraId="2550766A">
      <w:pPr>
        <w:pStyle w:val="307"/>
        <w:spacing w:line="360" w:lineRule="auto"/>
        <w:ind w:firstLine="440"/>
        <w:jc w:val="left"/>
        <w:rPr>
          <w:rStyle w:val="192"/>
          <w:rFonts w:ascii="宋体" w:hAnsi="宋体" w:eastAsia="宋体" w:cs="Times New Roman"/>
          <w:color w:val="auto"/>
          <w:sz w:val="22"/>
          <w:szCs w:val="22"/>
          <w:highlight w:val="none"/>
        </w:rPr>
      </w:pPr>
    </w:p>
    <w:p w14:paraId="7F624519">
      <w:pPr>
        <w:pStyle w:val="307"/>
        <w:spacing w:line="360" w:lineRule="auto"/>
        <w:ind w:firstLine="440"/>
        <w:jc w:val="left"/>
        <w:rPr>
          <w:rStyle w:val="192"/>
          <w:rFonts w:ascii="宋体" w:hAnsi="宋体" w:eastAsia="宋体" w:cs="Times New Roman"/>
          <w:color w:val="auto"/>
          <w:sz w:val="22"/>
          <w:szCs w:val="22"/>
          <w:highlight w:val="none"/>
        </w:rPr>
      </w:pPr>
      <w:r>
        <w:rPr>
          <w:rStyle w:val="192"/>
          <w:rFonts w:ascii="宋体" w:hAnsi="宋体" w:eastAsia="宋体" w:cs="Times New Roman"/>
          <w:color w:val="auto"/>
          <w:sz w:val="22"/>
          <w:szCs w:val="22"/>
          <w:highlight w:val="none"/>
        </w:rPr>
        <w:t>企业名称（盖章）：</w:t>
      </w:r>
    </w:p>
    <w:p w14:paraId="16CA29EA">
      <w:pPr>
        <w:pStyle w:val="307"/>
        <w:spacing w:line="360" w:lineRule="auto"/>
        <w:ind w:firstLine="440"/>
        <w:jc w:val="left"/>
        <w:rPr>
          <w:rStyle w:val="192"/>
          <w:rFonts w:ascii="宋体" w:hAnsi="宋体" w:eastAsia="宋体" w:cs="Times New Roman"/>
          <w:color w:val="auto"/>
          <w:sz w:val="22"/>
          <w:szCs w:val="22"/>
          <w:highlight w:val="none"/>
        </w:rPr>
      </w:pPr>
      <w:r>
        <w:rPr>
          <w:rStyle w:val="192"/>
          <w:rFonts w:ascii="宋体" w:hAnsi="宋体" w:eastAsia="宋体" w:cs="Times New Roman"/>
          <w:color w:val="auto"/>
          <w:sz w:val="22"/>
          <w:szCs w:val="22"/>
          <w:highlight w:val="none"/>
        </w:rPr>
        <w:t>日 期：</w:t>
      </w:r>
      <w:r>
        <w:rPr>
          <w:rStyle w:val="192"/>
          <w:rFonts w:hint="eastAsia" w:ascii="宋体" w:hAnsi="宋体" w:eastAsia="宋体" w:cs="Times New Roman"/>
          <w:color w:val="auto"/>
          <w:sz w:val="22"/>
          <w:szCs w:val="22"/>
          <w:highlight w:val="none"/>
        </w:rPr>
        <w:t xml:space="preserve">      </w:t>
      </w:r>
    </w:p>
    <w:p w14:paraId="032E123D">
      <w:pPr>
        <w:pStyle w:val="308"/>
        <w:widowControl/>
        <w:spacing w:line="400" w:lineRule="exact"/>
        <w:jc w:val="left"/>
        <w:rPr>
          <w:rStyle w:val="192"/>
          <w:rFonts w:ascii="宋体" w:hAnsi="宋体" w:eastAsia="宋体" w:cs="Times New Roman"/>
          <w:b/>
          <w:bCs/>
          <w:color w:val="auto"/>
          <w:sz w:val="32"/>
          <w:szCs w:val="32"/>
          <w:highlight w:val="none"/>
        </w:rPr>
      </w:pPr>
      <w:r>
        <w:rPr>
          <w:rStyle w:val="192"/>
          <w:rFonts w:hint="eastAsia" w:ascii="宋体" w:hAnsi="宋体" w:eastAsia="宋体" w:cs="Times New Roman"/>
          <w:color w:val="auto"/>
          <w:spacing w:val="6"/>
          <w:szCs w:val="28"/>
          <w:highlight w:val="none"/>
        </w:rPr>
        <w:t>注：</w:t>
      </w:r>
      <w:r>
        <w:rPr>
          <w:rStyle w:val="192"/>
          <w:rFonts w:ascii="宋体" w:hAnsi="宋体" w:eastAsia="宋体" w:cs="Times New Roman"/>
          <w:color w:val="auto"/>
          <w:spacing w:val="6"/>
          <w:szCs w:val="28"/>
          <w:highlight w:val="none"/>
        </w:rPr>
        <w:t>从业人员、营业收入、资产总额填报上一年度数据，无上一年度数据的新成立企业可不填报。</w:t>
      </w:r>
    </w:p>
    <w:p w14:paraId="54DB6D78">
      <w:pPr>
        <w:pStyle w:val="270"/>
        <w:jc w:val="center"/>
        <w:outlineLvl w:val="2"/>
        <w:rPr>
          <w:rStyle w:val="192"/>
          <w:rFonts w:ascii="Times New Roman" w:hAnsi="Times New Roman" w:eastAsia="Times New Roman" w:cs="Times New Roman"/>
          <w:color w:val="auto"/>
          <w:highlight w:val="none"/>
        </w:rPr>
      </w:pPr>
      <w:r>
        <w:rPr>
          <w:rStyle w:val="192"/>
          <w:rFonts w:hint="eastAsia" w:ascii="宋体" w:hAnsi="宋体" w:eastAsia="宋体" w:cs="Times New Roman"/>
          <w:b/>
          <w:bCs/>
          <w:color w:val="auto"/>
          <w:sz w:val="24"/>
          <w:szCs w:val="24"/>
          <w:highlight w:val="none"/>
          <w:lang w:val="en-US" w:eastAsia="zh-CN" w:bidi="ar-SA"/>
        </w:rPr>
        <w:br w:type="page" w:clear="all"/>
      </w:r>
      <w:bookmarkStart w:id="591" w:name="_Toc11813"/>
      <w:bookmarkStart w:id="592" w:name="_Toc16509"/>
      <w:bookmarkStart w:id="593" w:name="_Toc31864"/>
      <w:bookmarkStart w:id="594" w:name="_Toc28782"/>
      <w:bookmarkStart w:id="595" w:name="_Toc25553"/>
      <w:bookmarkStart w:id="596" w:name="_Toc12514"/>
      <w:r>
        <w:rPr>
          <w:rStyle w:val="192"/>
          <w:rFonts w:hint="eastAsia" w:ascii="宋体" w:hAnsi="宋体" w:eastAsia="宋体" w:cs="Times New Roman"/>
          <w:b/>
          <w:bCs/>
          <w:color w:val="auto"/>
          <w:sz w:val="24"/>
          <w:szCs w:val="24"/>
          <w:highlight w:val="none"/>
          <w:lang w:val="en-US" w:eastAsia="zh-CN" w:bidi="ar-SA"/>
        </w:rPr>
        <w:t>残疾人福利性单位声明函（如有）</w:t>
      </w:r>
      <w:bookmarkEnd w:id="591"/>
      <w:bookmarkEnd w:id="592"/>
      <w:bookmarkEnd w:id="593"/>
      <w:bookmarkEnd w:id="594"/>
      <w:bookmarkEnd w:id="595"/>
      <w:bookmarkEnd w:id="596"/>
    </w:p>
    <w:p w14:paraId="5EAA485E">
      <w:pPr>
        <w:pStyle w:val="270"/>
        <w:jc w:val="center"/>
        <w:outlineLvl w:val="2"/>
        <w:rPr>
          <w:rStyle w:val="192"/>
          <w:rFonts w:ascii="Times New Roman" w:hAnsi="Times New Roman" w:eastAsia="Times New Roman" w:cs="Times New Roman"/>
          <w:color w:val="auto"/>
          <w:highlight w:val="none"/>
        </w:rPr>
      </w:pPr>
    </w:p>
    <w:p w14:paraId="22CBD2CB">
      <w:pPr>
        <w:pStyle w:val="270"/>
        <w:keepNext w:val="0"/>
        <w:keepLines w:val="0"/>
        <w:pageBreakBefore w:val="0"/>
        <w:widowControl/>
        <w:spacing w:line="360" w:lineRule="auto"/>
        <w:ind w:firstLine="440"/>
        <w:jc w:val="left"/>
        <w:outlineLvl w:val="2"/>
        <w:rPr>
          <w:rStyle w:val="192"/>
          <w:rFonts w:ascii="宋体" w:hAnsi="宋体" w:eastAsia="宋体" w:cs="Times New Roman"/>
          <w:color w:val="auto"/>
          <w:sz w:val="22"/>
          <w:szCs w:val="22"/>
          <w:highlight w:val="none"/>
        </w:rPr>
      </w:pPr>
      <w:bookmarkStart w:id="597" w:name="_Toc18950"/>
      <w:bookmarkStart w:id="598" w:name="_Toc9693"/>
      <w:bookmarkStart w:id="599" w:name="_Toc27212"/>
      <w:bookmarkStart w:id="600" w:name="_Toc25545"/>
      <w:bookmarkStart w:id="601" w:name="_Toc32405"/>
      <w:bookmarkStart w:id="602" w:name="_Toc13534"/>
      <w:r>
        <w:rPr>
          <w:rStyle w:val="192"/>
          <w:rFonts w:hint="eastAsia" w:ascii="宋体" w:hAnsi="宋体" w:eastAsia="宋体" w:cs="Times New Roman"/>
          <w:color w:val="auto"/>
          <w:sz w:val="22"/>
          <w:szCs w:val="22"/>
          <w:highlight w:val="none"/>
          <w:lang w:val="en-US" w:eastAsia="zh-CN" w:bidi="ar-SA"/>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597"/>
      <w:bookmarkEnd w:id="598"/>
      <w:bookmarkEnd w:id="599"/>
      <w:bookmarkEnd w:id="600"/>
      <w:bookmarkEnd w:id="601"/>
      <w:bookmarkEnd w:id="602"/>
    </w:p>
    <w:p w14:paraId="60324A14">
      <w:pPr>
        <w:pStyle w:val="270"/>
        <w:keepNext w:val="0"/>
        <w:keepLines w:val="0"/>
        <w:pageBreakBefore w:val="0"/>
        <w:widowControl/>
        <w:spacing w:line="360" w:lineRule="auto"/>
        <w:jc w:val="left"/>
        <w:outlineLvl w:val="2"/>
        <w:rPr>
          <w:rStyle w:val="192"/>
          <w:rFonts w:ascii="宋体" w:hAnsi="宋体" w:eastAsia="宋体" w:cs="Times New Roman"/>
          <w:color w:val="auto"/>
          <w:sz w:val="22"/>
          <w:szCs w:val="22"/>
          <w:highlight w:val="none"/>
        </w:rPr>
      </w:pPr>
      <w:bookmarkStart w:id="603" w:name="_Toc26634"/>
      <w:bookmarkStart w:id="604" w:name="_Toc811"/>
      <w:bookmarkStart w:id="605" w:name="_Toc27674"/>
      <w:bookmarkStart w:id="606" w:name="_Toc512"/>
      <w:bookmarkStart w:id="607" w:name="_Toc7650"/>
      <w:bookmarkStart w:id="608" w:name="_Toc13644"/>
      <w:r>
        <w:rPr>
          <w:rStyle w:val="192"/>
          <w:rFonts w:hint="eastAsia" w:ascii="宋体" w:hAnsi="宋体" w:eastAsia="宋体" w:cs="Times New Roman"/>
          <w:color w:val="auto"/>
          <w:sz w:val="22"/>
          <w:szCs w:val="22"/>
          <w:highlight w:val="none"/>
          <w:lang w:val="en-US" w:eastAsia="zh-CN" w:bidi="ar-SA"/>
        </w:rPr>
        <w:t>本单位对上述声明的真实性负责。如有虚假，将依法承担相应责任。</w:t>
      </w:r>
      <w:bookmarkEnd w:id="603"/>
      <w:bookmarkEnd w:id="604"/>
      <w:bookmarkEnd w:id="605"/>
      <w:bookmarkEnd w:id="606"/>
      <w:bookmarkEnd w:id="607"/>
      <w:bookmarkEnd w:id="608"/>
    </w:p>
    <w:p w14:paraId="08930109">
      <w:pPr>
        <w:pStyle w:val="270"/>
        <w:keepNext w:val="0"/>
        <w:keepLines w:val="0"/>
        <w:pageBreakBefore w:val="0"/>
        <w:widowControl/>
        <w:spacing w:line="360" w:lineRule="auto"/>
        <w:jc w:val="left"/>
        <w:outlineLvl w:val="2"/>
        <w:rPr>
          <w:rStyle w:val="192"/>
          <w:rFonts w:ascii="宋体" w:hAnsi="宋体" w:eastAsia="宋体" w:cs="Times New Roman"/>
          <w:color w:val="auto"/>
          <w:sz w:val="22"/>
          <w:szCs w:val="22"/>
          <w:highlight w:val="none"/>
        </w:rPr>
      </w:pPr>
    </w:p>
    <w:p w14:paraId="42FD8348">
      <w:pPr>
        <w:pStyle w:val="270"/>
        <w:keepNext w:val="0"/>
        <w:keepLines w:val="0"/>
        <w:pageBreakBefore w:val="0"/>
        <w:widowControl/>
        <w:spacing w:line="360" w:lineRule="auto"/>
        <w:jc w:val="left"/>
        <w:outlineLvl w:val="2"/>
        <w:rPr>
          <w:rStyle w:val="192"/>
          <w:rFonts w:ascii="宋体" w:hAnsi="宋体" w:eastAsia="宋体" w:cs="Times New Roman"/>
          <w:color w:val="auto"/>
          <w:sz w:val="22"/>
          <w:szCs w:val="22"/>
          <w:highlight w:val="none"/>
        </w:rPr>
      </w:pPr>
    </w:p>
    <w:p w14:paraId="2A3CE1E6">
      <w:pPr>
        <w:pStyle w:val="270"/>
        <w:keepNext w:val="0"/>
        <w:keepLines w:val="0"/>
        <w:pageBreakBefore w:val="0"/>
        <w:widowControl/>
        <w:spacing w:line="360" w:lineRule="auto"/>
        <w:ind w:firstLine="2200"/>
        <w:jc w:val="center"/>
        <w:outlineLvl w:val="2"/>
        <w:rPr>
          <w:rStyle w:val="192"/>
          <w:rFonts w:hint="eastAsia" w:ascii="宋体" w:hAnsi="宋体" w:eastAsia="宋体" w:cs="Times New Roman"/>
          <w:color w:val="auto"/>
          <w:sz w:val="22"/>
          <w:szCs w:val="22"/>
          <w:highlight w:val="none"/>
        </w:rPr>
      </w:pPr>
      <w:bookmarkStart w:id="609" w:name="_Toc16699"/>
      <w:bookmarkStart w:id="610" w:name="_Toc6106"/>
      <w:bookmarkStart w:id="611" w:name="_Toc1390"/>
      <w:bookmarkStart w:id="612" w:name="_Toc25329"/>
      <w:bookmarkStart w:id="613" w:name="_Toc13241"/>
      <w:bookmarkStart w:id="614" w:name="_Toc5065"/>
      <w:r>
        <w:rPr>
          <w:rStyle w:val="192"/>
          <w:rFonts w:hint="eastAsia" w:ascii="宋体" w:hAnsi="宋体" w:eastAsia="宋体" w:cs="Times New Roman"/>
          <w:color w:val="auto"/>
          <w:sz w:val="22"/>
          <w:szCs w:val="22"/>
          <w:highlight w:val="none"/>
          <w:lang w:val="en-US" w:eastAsia="zh-CN" w:bidi="ar-SA"/>
        </w:rPr>
        <w:t>单位名称（盖章）：</w:t>
      </w:r>
      <w:bookmarkEnd w:id="609"/>
      <w:bookmarkEnd w:id="610"/>
      <w:bookmarkEnd w:id="611"/>
      <w:bookmarkEnd w:id="612"/>
      <w:bookmarkEnd w:id="613"/>
      <w:bookmarkEnd w:id="614"/>
    </w:p>
    <w:p w14:paraId="359B65DC">
      <w:pPr>
        <w:pStyle w:val="270"/>
        <w:keepNext w:val="0"/>
        <w:keepLines w:val="0"/>
        <w:pageBreakBefore w:val="0"/>
        <w:widowControl/>
        <w:spacing w:line="360" w:lineRule="auto"/>
        <w:ind w:firstLine="2200"/>
        <w:jc w:val="center"/>
        <w:outlineLvl w:val="2"/>
        <w:rPr>
          <w:rStyle w:val="192"/>
          <w:rFonts w:hint="eastAsia" w:ascii="宋体" w:hAnsi="宋体" w:eastAsia="宋体" w:cs="Times New Roman"/>
          <w:color w:val="auto"/>
          <w:sz w:val="22"/>
          <w:szCs w:val="22"/>
          <w:highlight w:val="none"/>
        </w:rPr>
      </w:pPr>
      <w:bookmarkStart w:id="615" w:name="_Toc19293"/>
      <w:bookmarkStart w:id="616" w:name="_Toc11414"/>
      <w:bookmarkStart w:id="617" w:name="_Toc32239"/>
      <w:bookmarkStart w:id="618" w:name="_Toc22676"/>
      <w:bookmarkStart w:id="619" w:name="_Toc3870"/>
      <w:bookmarkStart w:id="620" w:name="_Toc4109"/>
      <w:r>
        <w:rPr>
          <w:rStyle w:val="192"/>
          <w:rFonts w:hint="eastAsia" w:ascii="宋体" w:hAnsi="宋体" w:eastAsia="宋体" w:cs="Times New Roman"/>
          <w:color w:val="auto"/>
          <w:sz w:val="22"/>
          <w:szCs w:val="22"/>
          <w:highlight w:val="none"/>
          <w:lang w:val="en-US" w:eastAsia="zh-CN" w:bidi="ar-SA"/>
        </w:rPr>
        <w:t>日  期：</w:t>
      </w:r>
      <w:bookmarkEnd w:id="615"/>
      <w:bookmarkEnd w:id="616"/>
      <w:bookmarkEnd w:id="617"/>
      <w:bookmarkEnd w:id="618"/>
      <w:bookmarkEnd w:id="619"/>
      <w:bookmarkEnd w:id="620"/>
    </w:p>
    <w:p w14:paraId="0BC1AF52">
      <w:pPr>
        <w:pStyle w:val="270"/>
        <w:keepNext w:val="0"/>
        <w:keepLines w:val="0"/>
        <w:pageBreakBefore w:val="0"/>
        <w:widowControl/>
        <w:spacing w:line="360" w:lineRule="auto"/>
        <w:jc w:val="center"/>
        <w:outlineLvl w:val="2"/>
        <w:rPr>
          <w:rStyle w:val="192"/>
          <w:rFonts w:ascii="Times New Roman" w:hAnsi="Times New Roman" w:eastAsia="Times New Roman" w:cs="Times New Roman"/>
          <w:color w:val="auto"/>
          <w:highlight w:val="none"/>
        </w:rPr>
      </w:pPr>
      <w:r>
        <w:rPr>
          <w:rStyle w:val="192"/>
          <w:rFonts w:ascii="宋体" w:hAnsi="宋体" w:eastAsia="宋体" w:cs="宋体"/>
          <w:b w:val="0"/>
          <w:color w:val="auto"/>
          <w:sz w:val="28"/>
          <w:highlight w:val="none"/>
        </w:rPr>
        <w:br w:type="page" w:clear="all"/>
      </w:r>
      <w:bookmarkStart w:id="621" w:name="_Toc20707"/>
      <w:r>
        <w:rPr>
          <w:rStyle w:val="192"/>
          <w:rFonts w:ascii="宋体" w:hAnsi="宋体" w:eastAsia="宋体" w:cs="宋体"/>
          <w:b/>
          <w:bCs/>
          <w:color w:val="auto"/>
          <w:sz w:val="28"/>
          <w:highlight w:val="none"/>
        </w:rPr>
        <w:t>(</w:t>
      </w:r>
      <w:r>
        <w:rPr>
          <w:rStyle w:val="192"/>
          <w:rFonts w:hint="eastAsia" w:ascii="宋体" w:hAnsi="宋体" w:eastAsia="宋体" w:cs="宋体"/>
          <w:b/>
          <w:bCs/>
          <w:color w:val="auto"/>
          <w:sz w:val="28"/>
          <w:highlight w:val="none"/>
          <w:lang w:eastAsia="zh-CN"/>
        </w:rPr>
        <w:t>七</w:t>
      </w:r>
      <w:r>
        <w:rPr>
          <w:rStyle w:val="192"/>
          <w:rFonts w:ascii="宋体" w:hAnsi="宋体" w:eastAsia="宋体" w:cs="宋体"/>
          <w:b/>
          <w:bCs/>
          <w:color w:val="auto"/>
          <w:sz w:val="28"/>
          <w:highlight w:val="none"/>
        </w:rPr>
        <w:t>)本项目的特定资格要求</w:t>
      </w:r>
      <w:bookmarkEnd w:id="621"/>
    </w:p>
    <w:p w14:paraId="3F92B4BE">
      <w:pPr>
        <w:pStyle w:val="254"/>
        <w:keepNext w:val="0"/>
        <w:keepLines w:val="0"/>
        <w:pageBreakBefore w:val="0"/>
        <w:widowControl/>
        <w:spacing w:line="360" w:lineRule="auto"/>
        <w:ind w:firstLine="480"/>
        <w:jc w:val="left"/>
        <w:rPr>
          <w:rStyle w:val="192"/>
          <w:rFonts w:hint="eastAsia" w:ascii="宋体" w:hAnsi="宋体" w:eastAsia="宋体" w:cs="宋体"/>
          <w:b w:val="0"/>
          <w:color w:val="auto"/>
          <w:sz w:val="24"/>
          <w:szCs w:val="24"/>
          <w:highlight w:val="none"/>
        </w:rPr>
      </w:pPr>
      <w:r>
        <w:rPr>
          <w:rStyle w:val="192"/>
          <w:rFonts w:ascii="宋体" w:hAnsi="宋体" w:eastAsia="宋体" w:cs="宋体"/>
          <w:b w:val="0"/>
          <w:color w:val="auto"/>
          <w:sz w:val="24"/>
          <w:szCs w:val="24"/>
          <w:highlight w:val="none"/>
        </w:rPr>
        <w:t>（1）提供企业有效的资质证书（原件扫描件）</w:t>
      </w:r>
    </w:p>
    <w:p w14:paraId="6FCB5807">
      <w:pPr>
        <w:pStyle w:val="254"/>
        <w:keepNext w:val="0"/>
        <w:keepLines w:val="0"/>
        <w:pageBreakBefore w:val="0"/>
        <w:widowControl/>
        <w:spacing w:line="360" w:lineRule="auto"/>
        <w:ind w:firstLine="480"/>
        <w:jc w:val="left"/>
        <w:rPr>
          <w:rStyle w:val="192"/>
          <w:rFonts w:ascii="宋体" w:hAnsi="宋体" w:eastAsia="宋体" w:cs="宋体"/>
          <w:b w:val="0"/>
          <w:color w:val="auto"/>
          <w:sz w:val="24"/>
          <w:szCs w:val="24"/>
          <w:highlight w:val="none"/>
        </w:rPr>
      </w:pPr>
      <w:r>
        <w:rPr>
          <w:rStyle w:val="192"/>
          <w:rFonts w:ascii="宋体" w:hAnsi="宋体" w:eastAsia="宋体" w:cs="宋体"/>
          <w:b w:val="0"/>
          <w:color w:val="auto"/>
          <w:sz w:val="24"/>
          <w:szCs w:val="24"/>
          <w:highlight w:val="none"/>
        </w:rPr>
        <w:t>（2）提供企业有效的安全生产许可证（原件扫描件）</w:t>
      </w:r>
    </w:p>
    <w:p w14:paraId="0FD4EF6C">
      <w:pPr>
        <w:pStyle w:val="254"/>
        <w:keepNext w:val="0"/>
        <w:keepLines w:val="0"/>
        <w:pageBreakBefore w:val="0"/>
        <w:widowControl/>
        <w:spacing w:line="360" w:lineRule="auto"/>
        <w:ind w:firstLine="480"/>
        <w:jc w:val="left"/>
        <w:rPr>
          <w:rStyle w:val="192"/>
          <w:rFonts w:hint="eastAsia" w:ascii="宋体" w:hAnsi="宋体" w:eastAsia="宋体" w:cs="宋体"/>
          <w:b w:val="0"/>
          <w:color w:val="auto"/>
          <w:sz w:val="24"/>
          <w:szCs w:val="24"/>
          <w:highlight w:val="none"/>
        </w:rPr>
      </w:pPr>
      <w:r>
        <w:rPr>
          <w:rStyle w:val="192"/>
          <w:rFonts w:ascii="宋体" w:hAnsi="宋体" w:eastAsia="宋体" w:cs="宋体"/>
          <w:b w:val="0"/>
          <w:color w:val="auto"/>
          <w:sz w:val="24"/>
          <w:szCs w:val="24"/>
          <w:highlight w:val="none"/>
        </w:rPr>
        <w:t>（3）提供拟派项目负责人</w:t>
      </w:r>
      <w:r>
        <w:rPr>
          <w:rStyle w:val="192"/>
          <w:rFonts w:hint="eastAsia" w:ascii="宋体" w:hAnsi="宋体" w:eastAsia="宋体" w:cs="宋体"/>
          <w:b w:val="0"/>
          <w:color w:val="auto"/>
          <w:sz w:val="24"/>
          <w:szCs w:val="24"/>
          <w:highlight w:val="none"/>
          <w:lang w:eastAsia="zh-CN"/>
        </w:rPr>
        <w:t>有效的</w:t>
      </w:r>
      <w:r>
        <w:rPr>
          <w:rStyle w:val="192"/>
          <w:rFonts w:ascii="宋体" w:hAnsi="宋体" w:eastAsia="宋体" w:cs="宋体"/>
          <w:b w:val="0"/>
          <w:color w:val="auto"/>
          <w:sz w:val="24"/>
          <w:szCs w:val="24"/>
          <w:highlight w:val="none"/>
        </w:rPr>
        <w:t>建造师注册证书、提供项目负责人有效的安全生产考核合格证（B类证书）（原件扫描件）</w:t>
      </w:r>
    </w:p>
    <w:p w14:paraId="7C91F4A9">
      <w:pPr>
        <w:pStyle w:val="271"/>
        <w:keepNext w:val="0"/>
        <w:keepLines w:val="0"/>
        <w:pageBreakBefore w:val="0"/>
        <w:widowControl/>
        <w:spacing w:line="360" w:lineRule="auto"/>
        <w:ind w:firstLine="480"/>
        <w:jc w:val="left"/>
        <w:outlineLvl w:val="2"/>
        <w:rPr>
          <w:rStyle w:val="192"/>
          <w:rFonts w:ascii="宋体" w:hAnsi="宋体" w:eastAsia="宋体" w:cs="宋体"/>
          <w:b w:val="0"/>
          <w:color w:val="auto"/>
          <w:sz w:val="28"/>
          <w:szCs w:val="28"/>
          <w:highlight w:val="none"/>
        </w:rPr>
      </w:pPr>
      <w:bookmarkStart w:id="622" w:name="_Toc28049"/>
      <w:r>
        <w:rPr>
          <w:rStyle w:val="192"/>
          <w:rFonts w:ascii="宋体" w:hAnsi="宋体" w:eastAsia="宋体" w:cs="宋体"/>
          <w:b w:val="0"/>
          <w:color w:val="auto"/>
          <w:sz w:val="24"/>
          <w:szCs w:val="24"/>
          <w:highlight w:val="none"/>
        </w:rPr>
        <w:t>（4）投标人提供为项目负责人缴纳的</w:t>
      </w:r>
      <w:r>
        <w:rPr>
          <w:rStyle w:val="192"/>
          <w:rFonts w:hint="eastAsia" w:ascii="宋体" w:hAnsi="宋体" w:eastAsia="宋体" w:cs="宋体"/>
          <w:b w:val="0"/>
          <w:color w:val="auto"/>
          <w:sz w:val="24"/>
          <w:szCs w:val="24"/>
          <w:highlight w:val="none"/>
          <w:lang w:val="en-US" w:eastAsia="zh-CN"/>
        </w:rPr>
        <w:t>2026年4月</w:t>
      </w:r>
      <w:r>
        <w:rPr>
          <w:rStyle w:val="192"/>
          <w:rFonts w:ascii="宋体" w:hAnsi="宋体" w:eastAsia="宋体" w:cs="宋体"/>
          <w:b w:val="0"/>
          <w:color w:val="auto"/>
          <w:sz w:val="24"/>
          <w:szCs w:val="24"/>
          <w:highlight w:val="none"/>
        </w:rPr>
        <w:t>的社会保险证明（原件扫描件）</w:t>
      </w:r>
      <w:r>
        <w:rPr>
          <w:rStyle w:val="192"/>
          <w:rFonts w:hint="eastAsia" w:ascii="宋体" w:hAnsi="宋体" w:eastAsia="宋体" w:cs="宋体"/>
          <w:b w:val="0"/>
          <w:color w:val="auto"/>
          <w:sz w:val="24"/>
          <w:szCs w:val="24"/>
          <w:highlight w:val="none"/>
          <w:lang w:eastAsia="zh-CN"/>
        </w:rPr>
        <w:t>（</w:t>
      </w:r>
      <w:r>
        <w:rPr>
          <w:rStyle w:val="192"/>
          <w:rFonts w:hint="eastAsia" w:ascii="宋体" w:hAnsi="宋体" w:eastAsia="宋体" w:cs="宋体"/>
          <w:b w:val="0"/>
          <w:color w:val="auto"/>
          <w:sz w:val="24"/>
          <w:szCs w:val="24"/>
          <w:highlight w:val="none"/>
          <w:lang w:val="en-US" w:eastAsia="zh-CN"/>
        </w:rPr>
        <w:t>项目经理达到国家法定退休年龄的，无需提供社保证明材料；项目经理未达到国家法定退休年龄，但提前退休的，提供人力资源和社会保障部门出具的退休证明材料。</w:t>
      </w:r>
      <w:r>
        <w:rPr>
          <w:rStyle w:val="192"/>
          <w:rFonts w:hint="eastAsia" w:ascii="宋体" w:hAnsi="宋体" w:eastAsia="宋体" w:cs="宋体"/>
          <w:b w:val="0"/>
          <w:color w:val="auto"/>
          <w:sz w:val="24"/>
          <w:szCs w:val="24"/>
          <w:highlight w:val="none"/>
          <w:lang w:eastAsia="zh-CN"/>
        </w:rPr>
        <w:t>）</w:t>
      </w:r>
      <w:bookmarkEnd w:id="622"/>
    </w:p>
    <w:p w14:paraId="7753262E">
      <w:pPr>
        <w:pStyle w:val="271"/>
        <w:keepNext w:val="0"/>
        <w:keepLines w:val="0"/>
        <w:pageBreakBefore w:val="0"/>
        <w:widowControl/>
        <w:spacing w:line="360" w:lineRule="auto"/>
        <w:jc w:val="left"/>
        <w:outlineLvl w:val="2"/>
        <w:rPr>
          <w:rStyle w:val="192"/>
          <w:rFonts w:ascii="宋体" w:hAnsi="宋体" w:eastAsia="宋体" w:cs="宋体"/>
          <w:b w:val="0"/>
          <w:color w:val="auto"/>
          <w:sz w:val="24"/>
          <w:szCs w:val="32"/>
          <w:highlight w:val="none"/>
        </w:rPr>
      </w:pPr>
    </w:p>
    <w:p w14:paraId="7167810C">
      <w:pPr>
        <w:rPr>
          <w:rStyle w:val="192"/>
          <w:rFonts w:ascii="宋体" w:hAnsi="宋体" w:eastAsia="宋体" w:cs="宋体"/>
          <w:b/>
          <w:bCs/>
          <w:color w:val="auto"/>
          <w:sz w:val="28"/>
          <w:highlight w:val="none"/>
        </w:rPr>
      </w:pPr>
      <w:r>
        <w:rPr>
          <w:rStyle w:val="192"/>
          <w:rFonts w:ascii="宋体" w:hAnsi="宋体" w:eastAsia="宋体" w:cs="宋体"/>
          <w:b/>
          <w:bCs/>
          <w:color w:val="auto"/>
          <w:sz w:val="28"/>
          <w:highlight w:val="none"/>
        </w:rPr>
        <w:br w:type="page" w:clear="all"/>
      </w:r>
    </w:p>
    <w:p w14:paraId="44EB771F">
      <w:pPr>
        <w:pStyle w:val="271"/>
        <w:keepNext w:val="0"/>
        <w:keepLines w:val="0"/>
        <w:pageBreakBefore w:val="0"/>
        <w:widowControl/>
        <w:spacing w:line="360" w:lineRule="auto"/>
        <w:jc w:val="center"/>
        <w:outlineLvl w:val="2"/>
        <w:rPr>
          <w:rStyle w:val="192"/>
          <w:rFonts w:ascii="Times New Roman" w:hAnsi="Times New Roman" w:eastAsia="Times New Roman" w:cs="Times New Roman"/>
          <w:color w:val="auto"/>
          <w:highlight w:val="none"/>
        </w:rPr>
      </w:pPr>
      <w:bookmarkStart w:id="623" w:name="_Toc4837"/>
      <w:r>
        <w:rPr>
          <w:rStyle w:val="192"/>
          <w:rFonts w:ascii="宋体" w:hAnsi="宋体" w:eastAsia="宋体" w:cs="宋体"/>
          <w:b/>
          <w:bCs/>
          <w:color w:val="auto"/>
          <w:sz w:val="28"/>
          <w:highlight w:val="none"/>
        </w:rPr>
        <w:t>(</w:t>
      </w:r>
      <w:r>
        <w:rPr>
          <w:rStyle w:val="192"/>
          <w:rFonts w:hint="eastAsia" w:ascii="宋体" w:hAnsi="宋体" w:eastAsia="宋体" w:cs="宋体"/>
          <w:b/>
          <w:bCs/>
          <w:color w:val="auto"/>
          <w:sz w:val="28"/>
          <w:highlight w:val="none"/>
          <w:lang w:eastAsia="zh-CN"/>
        </w:rPr>
        <w:t>八</w:t>
      </w:r>
      <w:r>
        <w:rPr>
          <w:rStyle w:val="192"/>
          <w:rFonts w:ascii="宋体" w:hAnsi="宋体" w:eastAsia="宋体" w:cs="宋体"/>
          <w:b/>
          <w:bCs/>
          <w:color w:val="auto"/>
          <w:sz w:val="28"/>
          <w:highlight w:val="none"/>
        </w:rPr>
        <w:t>)法定代表人（负责人）身份证明书</w:t>
      </w:r>
      <w:bookmarkEnd w:id="623"/>
    </w:p>
    <w:p w14:paraId="758F477B">
      <w:pPr>
        <w:pStyle w:val="272"/>
        <w:spacing w:line="360" w:lineRule="auto"/>
        <w:ind w:firstLine="560"/>
        <w:rPr>
          <w:rStyle w:val="192"/>
          <w:rFonts w:ascii="宋体" w:hAnsi="宋体" w:eastAsia="宋体" w:cs="Times New Roman"/>
          <w:color w:val="auto"/>
          <w:sz w:val="28"/>
          <w:szCs w:val="28"/>
          <w:highlight w:val="none"/>
        </w:rPr>
      </w:pPr>
      <w:r>
        <w:rPr>
          <w:rStyle w:val="192"/>
          <w:rFonts w:hint="eastAsia" w:ascii="宋体" w:hAnsi="宋体" w:eastAsia="宋体" w:cs="宋体"/>
          <w:color w:val="auto"/>
          <w:sz w:val="28"/>
          <w:szCs w:val="28"/>
          <w:highlight w:val="none"/>
        </w:rPr>
        <w:t>兹</w:t>
      </w:r>
      <w:r>
        <w:rPr>
          <w:rStyle w:val="233"/>
          <w:rFonts w:hint="eastAsia" w:ascii="宋体" w:hAnsi="宋体" w:eastAsia="宋体" w:cs="宋体"/>
          <w:color w:val="auto"/>
          <w:sz w:val="28"/>
          <w:szCs w:val="28"/>
          <w:highlight w:val="none"/>
        </w:rPr>
        <w:t>证明</w:t>
      </w:r>
      <w:r>
        <w:rPr>
          <w:rStyle w:val="233"/>
          <w:rFonts w:hint="eastAsia" w:ascii="宋体" w:hAnsi="宋体" w:eastAsia="宋体" w:cs="宋体"/>
          <w:color w:val="auto"/>
          <w:sz w:val="28"/>
          <w:szCs w:val="28"/>
          <w:highlight w:val="none"/>
          <w:u w:val="single"/>
          <w:lang w:val="en-US" w:eastAsia="zh-CN"/>
        </w:rPr>
        <w:t xml:space="preserve">   </w:t>
      </w:r>
      <w:r>
        <w:rPr>
          <w:rStyle w:val="233"/>
          <w:rFonts w:hint="eastAsia" w:ascii="宋体" w:hAnsi="宋体" w:eastAsia="宋体" w:cs="宋体"/>
          <w:b/>
          <w:color w:val="auto"/>
          <w:sz w:val="24"/>
          <w:highlight w:val="none"/>
          <w:u w:val="single"/>
        </w:rPr>
        <w:t>姓名</w:t>
      </w:r>
      <w:r>
        <w:rPr>
          <w:rStyle w:val="233"/>
          <w:rFonts w:hint="eastAsia" w:ascii="宋体" w:hAnsi="宋体" w:eastAsia="宋体" w:cs="宋体"/>
          <w:b/>
          <w:color w:val="auto"/>
          <w:sz w:val="24"/>
          <w:highlight w:val="none"/>
          <w:u w:val="single"/>
          <w:lang w:val="en-US" w:eastAsia="zh-CN"/>
        </w:rPr>
        <w:t xml:space="preserve">    </w:t>
      </w:r>
      <w:r>
        <w:rPr>
          <w:rStyle w:val="233"/>
          <w:rFonts w:hint="eastAsia" w:ascii="宋体" w:hAnsi="宋体" w:eastAsia="宋体" w:cs="宋体"/>
          <w:color w:val="auto"/>
          <w:sz w:val="28"/>
          <w:szCs w:val="28"/>
          <w:highlight w:val="none"/>
        </w:rPr>
        <w:t>同志，性别</w:t>
      </w:r>
      <w:r>
        <w:rPr>
          <w:rStyle w:val="233"/>
          <w:rFonts w:hint="eastAsia" w:ascii="宋体" w:hAnsi="宋体" w:eastAsia="宋体" w:cs="宋体"/>
          <w:b/>
          <w:color w:val="auto"/>
          <w:sz w:val="24"/>
          <w:highlight w:val="none"/>
          <w:u w:val="single"/>
          <w:lang w:val="en-US" w:eastAsia="zh-CN"/>
        </w:rPr>
        <w:t xml:space="preserve">        </w:t>
      </w:r>
      <w:r>
        <w:rPr>
          <w:rStyle w:val="233"/>
          <w:rFonts w:hint="eastAsia" w:ascii="宋体" w:hAnsi="宋体" w:eastAsia="宋体" w:cs="宋体"/>
          <w:color w:val="auto"/>
          <w:sz w:val="28"/>
          <w:szCs w:val="28"/>
          <w:highlight w:val="none"/>
        </w:rPr>
        <w:t>，</w:t>
      </w:r>
      <w:r>
        <w:rPr>
          <w:rStyle w:val="233"/>
          <w:rFonts w:hint="eastAsia" w:ascii="宋体" w:hAnsi="宋体" w:eastAsia="宋体" w:cs="宋体"/>
          <w:color w:val="auto"/>
          <w:sz w:val="28"/>
          <w:highlight w:val="none"/>
        </w:rPr>
        <w:t>居民身份证号</w:t>
      </w:r>
      <w:r>
        <w:rPr>
          <w:rStyle w:val="233"/>
          <w:rFonts w:hint="eastAsia" w:ascii="宋体" w:hAnsi="宋体" w:eastAsia="宋体" w:cs="宋体"/>
          <w:b/>
          <w:color w:val="auto"/>
          <w:sz w:val="24"/>
          <w:highlight w:val="none"/>
          <w:u w:val="single"/>
          <w:lang w:val="en-US" w:eastAsia="zh-CN"/>
        </w:rPr>
        <w:t xml:space="preserve">        </w:t>
      </w:r>
      <w:r>
        <w:rPr>
          <w:rStyle w:val="233"/>
          <w:rFonts w:hint="eastAsia" w:ascii="宋体" w:hAnsi="宋体" w:eastAsia="宋体" w:cs="宋体"/>
          <w:color w:val="auto"/>
          <w:sz w:val="28"/>
          <w:szCs w:val="28"/>
          <w:highlight w:val="none"/>
        </w:rPr>
        <w:t>，在我单位任</w:t>
      </w:r>
      <w:r>
        <w:rPr>
          <w:rStyle w:val="233"/>
          <w:rFonts w:hint="eastAsia" w:ascii="宋体" w:hAnsi="宋体" w:eastAsia="宋体" w:cs="宋体"/>
          <w:color w:val="auto"/>
          <w:sz w:val="28"/>
          <w:szCs w:val="28"/>
          <w:highlight w:val="none"/>
          <w:u w:val="single"/>
        </w:rPr>
        <w:t xml:space="preserve">               </w:t>
      </w:r>
      <w:r>
        <w:rPr>
          <w:rStyle w:val="233"/>
          <w:rFonts w:hint="eastAsia" w:ascii="宋体" w:hAnsi="宋体" w:eastAsia="宋体" w:cs="宋体"/>
          <w:color w:val="auto"/>
          <w:sz w:val="28"/>
          <w:szCs w:val="28"/>
          <w:highlight w:val="none"/>
        </w:rPr>
        <w:t>职务，系我单位主要负责人即法定代表人。</w:t>
      </w:r>
    </w:p>
    <w:p w14:paraId="7947F61C">
      <w:pPr>
        <w:pStyle w:val="272"/>
        <w:spacing w:line="360" w:lineRule="auto"/>
        <w:ind w:firstLine="560"/>
        <w:rPr>
          <w:rStyle w:val="192"/>
          <w:rFonts w:ascii="宋体" w:hAnsi="宋体" w:eastAsia="宋体" w:cs="Times New Roman"/>
          <w:color w:val="auto"/>
          <w:sz w:val="28"/>
          <w:szCs w:val="28"/>
          <w:highlight w:val="none"/>
        </w:rPr>
      </w:pPr>
    </w:p>
    <w:p w14:paraId="57ACCCC5">
      <w:pPr>
        <w:pStyle w:val="272"/>
        <w:spacing w:line="360" w:lineRule="auto"/>
        <w:ind w:firstLine="560"/>
        <w:rPr>
          <w:rStyle w:val="192"/>
          <w:rFonts w:ascii="宋体" w:hAnsi="宋体" w:eastAsia="宋体" w:cs="Times New Roman"/>
          <w:color w:val="auto"/>
          <w:sz w:val="28"/>
          <w:szCs w:val="28"/>
          <w:highlight w:val="none"/>
        </w:rPr>
      </w:pPr>
    </w:p>
    <w:p w14:paraId="63E631D6">
      <w:pPr>
        <w:pStyle w:val="272"/>
        <w:keepNext w:val="0"/>
        <w:keepLines w:val="0"/>
        <w:pageBreakBefore w:val="0"/>
        <w:widowControl w:val="0"/>
        <w:spacing w:before="313" w:after="313" w:line="360" w:lineRule="auto"/>
        <w:ind w:firstLine="560"/>
        <w:rPr>
          <w:rStyle w:val="192"/>
          <w:rFonts w:ascii="宋体" w:hAnsi="宋体" w:eastAsia="宋体" w:cs="Times New Roman"/>
          <w:color w:val="auto"/>
          <w:sz w:val="28"/>
          <w:szCs w:val="28"/>
          <w:highlight w:val="none"/>
        </w:rPr>
      </w:pPr>
      <w:r>
        <w:rPr>
          <w:rStyle w:val="192"/>
          <w:rFonts w:hint="eastAsia" w:ascii="宋体" w:hAnsi="宋体" w:eastAsia="宋体" w:cs="Times New Roman"/>
          <w:color w:val="auto"/>
          <w:sz w:val="28"/>
          <w:szCs w:val="28"/>
          <w:highlight w:val="none"/>
        </w:rPr>
        <w:t>单位地址：</w:t>
      </w:r>
      <w:r>
        <w:rPr>
          <w:rStyle w:val="192"/>
          <w:rFonts w:hint="eastAsia" w:ascii="宋体" w:hAnsi="宋体" w:cs="Times New Roman"/>
          <w:b/>
          <w:color w:val="auto"/>
          <w:sz w:val="24"/>
          <w:highlight w:val="none"/>
          <w:u w:val="single"/>
          <w:lang w:val="en-US" w:eastAsia="zh-CN"/>
        </w:rPr>
        <w:t xml:space="preserve">           </w:t>
      </w:r>
    </w:p>
    <w:p w14:paraId="0E7FB9B0">
      <w:pPr>
        <w:pStyle w:val="272"/>
        <w:keepNext w:val="0"/>
        <w:keepLines w:val="0"/>
        <w:pageBreakBefore w:val="0"/>
        <w:widowControl w:val="0"/>
        <w:spacing w:before="313" w:after="313" w:line="360" w:lineRule="auto"/>
        <w:ind w:firstLine="560"/>
        <w:rPr>
          <w:rStyle w:val="192"/>
          <w:rFonts w:ascii="宋体" w:hAnsi="宋体" w:eastAsia="宋体" w:cs="Times New Roman"/>
          <w:color w:val="auto"/>
          <w:sz w:val="28"/>
          <w:szCs w:val="28"/>
          <w:highlight w:val="none"/>
        </w:rPr>
      </w:pPr>
      <w:r>
        <w:rPr>
          <w:rStyle w:val="192"/>
          <w:rFonts w:hint="eastAsia" w:ascii="宋体" w:hAnsi="宋体" w:eastAsia="宋体" w:cs="Times New Roman"/>
          <w:color w:val="auto"/>
          <w:sz w:val="28"/>
          <w:szCs w:val="28"/>
          <w:highlight w:val="none"/>
        </w:rPr>
        <w:t>电    话：</w:t>
      </w:r>
      <w:r>
        <w:rPr>
          <w:rStyle w:val="192"/>
          <w:rFonts w:hint="eastAsia" w:ascii="宋体" w:hAnsi="宋体" w:cs="Times New Roman"/>
          <w:b/>
          <w:color w:val="auto"/>
          <w:sz w:val="24"/>
          <w:highlight w:val="none"/>
          <w:u w:val="single"/>
          <w:lang w:val="en-US" w:eastAsia="zh-CN"/>
        </w:rPr>
        <w:t xml:space="preserve">           </w:t>
      </w:r>
    </w:p>
    <w:p w14:paraId="5F97B51A">
      <w:pPr>
        <w:pStyle w:val="272"/>
        <w:keepNext w:val="0"/>
        <w:keepLines w:val="0"/>
        <w:pageBreakBefore w:val="0"/>
        <w:widowControl w:val="0"/>
        <w:spacing w:before="313" w:after="313" w:line="360" w:lineRule="auto"/>
        <w:ind w:firstLine="560"/>
        <w:rPr>
          <w:rStyle w:val="192"/>
          <w:rFonts w:ascii="宋体" w:hAnsi="宋体" w:eastAsia="宋体" w:cs="Times New Roman"/>
          <w:color w:val="auto"/>
          <w:sz w:val="28"/>
          <w:szCs w:val="28"/>
          <w:highlight w:val="none"/>
        </w:rPr>
      </w:pPr>
      <w:r>
        <w:rPr>
          <w:rStyle w:val="192"/>
          <w:rFonts w:hint="eastAsia" w:ascii="宋体" w:hAnsi="宋体" w:eastAsia="宋体" w:cs="Times New Roman"/>
          <w:color w:val="auto"/>
          <w:sz w:val="28"/>
          <w:szCs w:val="28"/>
          <w:highlight w:val="none"/>
        </w:rPr>
        <w:t>单位全称：</w:t>
      </w:r>
      <w:r>
        <w:rPr>
          <w:rStyle w:val="192"/>
          <w:rFonts w:hint="eastAsia" w:ascii="宋体" w:hAnsi="宋体" w:cs="Times New Roman"/>
          <w:b/>
          <w:color w:val="auto"/>
          <w:sz w:val="24"/>
          <w:highlight w:val="none"/>
          <w:u w:val="single"/>
          <w:lang w:val="en-US" w:eastAsia="zh-CN"/>
        </w:rPr>
        <w:t xml:space="preserve">           </w:t>
      </w:r>
    </w:p>
    <w:p w14:paraId="20A15F65">
      <w:pPr>
        <w:pStyle w:val="272"/>
        <w:keepNext w:val="0"/>
        <w:keepLines w:val="0"/>
        <w:pageBreakBefore w:val="0"/>
        <w:widowControl w:val="0"/>
        <w:spacing w:before="313" w:after="313" w:line="360" w:lineRule="auto"/>
        <w:ind w:firstLine="560"/>
        <w:rPr>
          <w:rStyle w:val="192"/>
          <w:rFonts w:ascii="宋体" w:hAnsi="宋体" w:eastAsia="宋体" w:cs="Times New Roman"/>
          <w:color w:val="auto"/>
          <w:sz w:val="28"/>
          <w:szCs w:val="28"/>
          <w:highlight w:val="none"/>
        </w:rPr>
      </w:pPr>
      <w:r>
        <w:rPr>
          <w:rStyle w:val="192"/>
          <w:rFonts w:hint="eastAsia" w:ascii="宋体" w:hAnsi="宋体" w:eastAsia="宋体" w:cs="Times New Roman"/>
          <w:color w:val="auto"/>
          <w:sz w:val="28"/>
          <w:szCs w:val="28"/>
          <w:highlight w:val="none"/>
        </w:rPr>
        <w:t>单位盖章：</w:t>
      </w:r>
      <w:r>
        <w:rPr>
          <w:rStyle w:val="192"/>
          <w:rFonts w:hint="eastAsia" w:ascii="宋体" w:hAnsi="宋体" w:cs="Times New Roman"/>
          <w:b/>
          <w:color w:val="auto"/>
          <w:sz w:val="24"/>
          <w:highlight w:val="none"/>
          <w:u w:val="single"/>
          <w:lang w:val="en-US" w:eastAsia="zh-CN"/>
        </w:rPr>
        <w:t xml:space="preserve">           </w:t>
      </w:r>
    </w:p>
    <w:p w14:paraId="0C5D5EFA">
      <w:pPr>
        <w:pStyle w:val="272"/>
        <w:tabs>
          <w:tab w:val="left" w:pos="7290"/>
        </w:tabs>
        <w:spacing w:line="360" w:lineRule="auto"/>
        <w:ind w:firstLine="560"/>
        <w:rPr>
          <w:rStyle w:val="192"/>
          <w:rFonts w:ascii="宋体" w:hAnsi="宋体" w:eastAsia="宋体" w:cs="Times New Roman"/>
          <w:color w:val="auto"/>
          <w:sz w:val="28"/>
          <w:szCs w:val="28"/>
          <w:highlight w:val="none"/>
        </w:rPr>
      </w:pPr>
      <w:r>
        <w:rPr>
          <w:rStyle w:val="192"/>
          <w:rFonts w:hint="eastAsia" w:ascii="宋体" w:hAnsi="宋体" w:eastAsia="宋体" w:cs="Times New Roman"/>
          <w:color w:val="auto"/>
          <w:sz w:val="28"/>
          <w:szCs w:val="28"/>
          <w:highlight w:val="none"/>
        </w:rPr>
        <w:t xml:space="preserve">                                 年     月    日</w:t>
      </w:r>
    </w:p>
    <w:p w14:paraId="7AE731BB">
      <w:pPr>
        <w:pStyle w:val="272"/>
        <w:spacing w:line="360" w:lineRule="auto"/>
        <w:ind w:firstLine="560"/>
        <w:rPr>
          <w:rStyle w:val="192"/>
          <w:rFonts w:ascii="宋体" w:hAnsi="宋体" w:eastAsia="宋体" w:cs="Times New Roman"/>
          <w:color w:val="auto"/>
          <w:sz w:val="28"/>
          <w:highlight w:val="none"/>
        </w:rPr>
      </w:pPr>
    </w:p>
    <w:p w14:paraId="2B43DA72">
      <w:pPr>
        <w:pStyle w:val="272"/>
        <w:spacing w:line="360" w:lineRule="auto"/>
        <w:ind w:firstLine="482"/>
        <w:jc w:val="left"/>
        <w:rPr>
          <w:rStyle w:val="192"/>
          <w:rFonts w:ascii="宋体" w:hAnsi="宋体" w:eastAsia="宋体" w:cs="Times New Roman"/>
          <w:b/>
          <w:color w:val="auto"/>
          <w:sz w:val="24"/>
          <w:szCs w:val="24"/>
          <w:highlight w:val="none"/>
        </w:rPr>
      </w:pPr>
      <w:r>
        <w:rPr>
          <w:rStyle w:val="192"/>
          <w:rFonts w:hint="eastAsia" w:ascii="宋体" w:hAnsi="宋体" w:eastAsia="宋体" w:cs="Times New Roman"/>
          <w:b/>
          <w:color w:val="auto"/>
          <w:sz w:val="24"/>
          <w:szCs w:val="24"/>
          <w:highlight w:val="none"/>
        </w:rPr>
        <w:t>附：法定代表人居民身份证扫描件</w:t>
      </w:r>
    </w:p>
    <w:p w14:paraId="79104289">
      <w:pPr>
        <w:pStyle w:val="272"/>
        <w:tabs>
          <w:tab w:val="left" w:pos="7290"/>
        </w:tabs>
        <w:spacing w:line="360" w:lineRule="auto"/>
        <w:ind w:firstLine="440"/>
        <w:rPr>
          <w:rStyle w:val="192"/>
          <w:rFonts w:ascii="宋体" w:hAnsi="宋体" w:eastAsia="宋体" w:cs="Times New Roman"/>
          <w:color w:val="auto"/>
          <w:sz w:val="22"/>
          <w:szCs w:val="20"/>
          <w:highlight w:val="none"/>
        </w:rPr>
      </w:pPr>
      <w:r>
        <w:rPr>
          <w:rStyle w:val="192"/>
          <w:rFonts w:hint="eastAsia" w:ascii="宋体" w:hAnsi="宋体" w:eastAsia="宋体" w:cs="Times New Roman"/>
          <w:color w:val="auto"/>
          <w:sz w:val="22"/>
          <w:szCs w:val="20"/>
          <w:highlight w:val="none"/>
          <w:u w:val="single"/>
        </w:rPr>
        <w:t>注：1.“法定代表人”直接参加磋商响应活动的仅需填写本身份证明</w:t>
      </w:r>
      <w:r>
        <w:rPr>
          <w:rStyle w:val="192"/>
          <w:rFonts w:hint="eastAsia" w:ascii="宋体" w:hAnsi="宋体" w:eastAsia="宋体" w:cs="Times New Roman"/>
          <w:color w:val="auto"/>
          <w:sz w:val="22"/>
          <w:szCs w:val="20"/>
          <w:highlight w:val="none"/>
        </w:rPr>
        <w:t>，</w:t>
      </w:r>
      <w:r>
        <w:rPr>
          <w:rStyle w:val="192"/>
          <w:rFonts w:hint="eastAsia" w:ascii="宋体" w:hAnsi="宋体" w:eastAsia="宋体" w:cs="Times New Roman"/>
          <w:color w:val="auto"/>
          <w:sz w:val="22"/>
          <w:szCs w:val="22"/>
          <w:highlight w:val="none"/>
          <w:u w:val="single"/>
        </w:rPr>
        <w:t>个人居民身份证携带备查</w:t>
      </w:r>
      <w:r>
        <w:rPr>
          <w:rStyle w:val="192"/>
          <w:rFonts w:hint="eastAsia" w:ascii="宋体" w:hAnsi="宋体" w:eastAsia="宋体" w:cs="Times New Roman"/>
          <w:color w:val="auto"/>
          <w:sz w:val="22"/>
          <w:szCs w:val="20"/>
          <w:highlight w:val="none"/>
        </w:rPr>
        <w:t>。</w:t>
      </w:r>
    </w:p>
    <w:p w14:paraId="4389CDB2">
      <w:pPr>
        <w:pStyle w:val="272"/>
        <w:tabs>
          <w:tab w:val="left" w:pos="7290"/>
        </w:tabs>
        <w:spacing w:line="360" w:lineRule="auto"/>
        <w:ind w:firstLine="442"/>
        <w:rPr>
          <w:rStyle w:val="192"/>
          <w:rFonts w:ascii="宋体" w:hAnsi="宋体" w:eastAsia="宋体" w:cs="Times New Roman"/>
          <w:b/>
          <w:color w:val="auto"/>
          <w:sz w:val="22"/>
          <w:szCs w:val="22"/>
          <w:highlight w:val="none"/>
          <w:u w:val="single"/>
        </w:rPr>
      </w:pPr>
      <w:r>
        <w:rPr>
          <w:rStyle w:val="192"/>
          <w:rFonts w:hint="eastAsia" w:ascii="宋体" w:hAnsi="宋体" w:eastAsia="宋体" w:cs="Times New Roman"/>
          <w:b/>
          <w:color w:val="auto"/>
          <w:sz w:val="22"/>
          <w:szCs w:val="22"/>
          <w:highlight w:val="none"/>
          <w:u w:val="single"/>
        </w:rPr>
        <w:t>2.供应商</w:t>
      </w:r>
      <w:r>
        <w:rPr>
          <w:rStyle w:val="192"/>
          <w:rFonts w:ascii="宋体" w:hAnsi="宋体" w:eastAsia="宋体" w:cs="Times New Roman"/>
          <w:b/>
          <w:color w:val="auto"/>
          <w:sz w:val="22"/>
          <w:szCs w:val="22"/>
          <w:highlight w:val="none"/>
          <w:u w:val="single"/>
        </w:rPr>
        <w:t>属于非法人组织的，按照法律、行政法规规定能够对外代表其从事民事活动的主要负责人，如个人独资企业的投资人，代表合伙企业执行合伙企业事务的合伙人等，视同法定代表人。</w:t>
      </w:r>
    </w:p>
    <w:p w14:paraId="22C7F6FD">
      <w:pPr>
        <w:pStyle w:val="273"/>
        <w:jc w:val="center"/>
        <w:outlineLvl w:val="2"/>
        <w:rPr>
          <w:rStyle w:val="192"/>
          <w:rFonts w:ascii="Times New Roman" w:hAnsi="Times New Roman" w:eastAsia="Times New Roman" w:cs="Times New Roman"/>
          <w:color w:val="auto"/>
          <w:highlight w:val="none"/>
        </w:rPr>
      </w:pPr>
      <w:r>
        <w:rPr>
          <w:rStyle w:val="192"/>
          <w:rFonts w:ascii="Times New Roman" w:hAnsi="Times New Roman" w:eastAsia="Times New Roman" w:cs="Times New Roman"/>
          <w:color w:val="auto"/>
          <w:highlight w:val="none"/>
        </w:rPr>
        <w:br w:type="page" w:clear="all"/>
      </w:r>
      <w:bookmarkStart w:id="624" w:name="_Toc9734"/>
      <w:r>
        <w:rPr>
          <w:rStyle w:val="192"/>
          <w:rFonts w:ascii="宋体" w:hAnsi="宋体" w:eastAsia="宋体" w:cs="宋体"/>
          <w:b/>
          <w:bCs/>
          <w:color w:val="auto"/>
          <w:sz w:val="28"/>
          <w:highlight w:val="none"/>
        </w:rPr>
        <w:t>(九)法定代表人（负责人）授权委托书</w:t>
      </w:r>
      <w:bookmarkEnd w:id="624"/>
    </w:p>
    <w:p w14:paraId="1AF99158">
      <w:pPr>
        <w:pStyle w:val="273"/>
        <w:spacing w:line="360" w:lineRule="auto"/>
        <w:ind w:right="420" w:firstLine="560"/>
        <w:rPr>
          <w:rStyle w:val="192"/>
          <w:rFonts w:ascii="宋体" w:hAnsi="宋体" w:eastAsia="宋体" w:cs="Times New Roman"/>
          <w:color w:val="auto"/>
          <w:sz w:val="28"/>
          <w:highlight w:val="none"/>
        </w:rPr>
      </w:pPr>
      <w:r>
        <w:rPr>
          <w:rStyle w:val="233"/>
          <w:rFonts w:hint="eastAsia" w:ascii="宋体" w:hAnsi="宋体"/>
          <w:color w:val="auto"/>
          <w:sz w:val="28"/>
          <w:highlight w:val="none"/>
        </w:rPr>
        <w:t>本授权书声明：</w:t>
      </w:r>
      <w:r>
        <w:rPr>
          <w:rStyle w:val="233"/>
          <w:rFonts w:hint="eastAsia" w:ascii="宋体" w:hAnsi="宋体"/>
          <w:b/>
          <w:color w:val="auto"/>
          <w:sz w:val="24"/>
          <w:highlight w:val="none"/>
          <w:u w:val="single"/>
        </w:rPr>
        <w:t>（投标人名称）</w:t>
      </w:r>
      <w:r>
        <w:rPr>
          <w:rStyle w:val="233"/>
          <w:rFonts w:hint="eastAsia" w:ascii="宋体" w:hAnsi="宋体"/>
          <w:color w:val="auto"/>
          <w:sz w:val="28"/>
          <w:highlight w:val="none"/>
        </w:rPr>
        <w:t>法定代表人</w:t>
      </w:r>
      <w:r>
        <w:rPr>
          <w:rStyle w:val="233"/>
          <w:rFonts w:hint="eastAsia" w:ascii="宋体" w:hAnsi="宋体"/>
          <w:b/>
          <w:color w:val="auto"/>
          <w:sz w:val="24"/>
          <w:highlight w:val="none"/>
          <w:u w:val="single"/>
        </w:rPr>
        <w:t>（姓名）</w:t>
      </w:r>
      <w:r>
        <w:rPr>
          <w:rStyle w:val="233"/>
          <w:rFonts w:hint="eastAsia" w:ascii="宋体" w:hAnsi="宋体"/>
          <w:color w:val="auto"/>
          <w:sz w:val="28"/>
          <w:highlight w:val="none"/>
        </w:rPr>
        <w:t>授权</w:t>
      </w:r>
      <w:r>
        <w:rPr>
          <w:rStyle w:val="233"/>
          <w:rFonts w:hint="eastAsia" w:ascii="宋体" w:hAnsi="宋体"/>
          <w:b/>
          <w:color w:val="auto"/>
          <w:sz w:val="24"/>
          <w:highlight w:val="none"/>
          <w:u w:val="single"/>
        </w:rPr>
        <w:t>（委托代理人的姓名、身份证号）</w:t>
      </w:r>
      <w:r>
        <w:rPr>
          <w:rStyle w:val="233"/>
          <w:rFonts w:hint="eastAsia" w:ascii="宋体" w:hAnsi="宋体"/>
          <w:color w:val="auto"/>
          <w:sz w:val="28"/>
          <w:highlight w:val="none"/>
        </w:rPr>
        <w:t>为我方就</w:t>
      </w:r>
      <w:r>
        <w:rPr>
          <w:rStyle w:val="233"/>
          <w:rFonts w:hint="eastAsia" w:ascii="宋体" w:hAnsi="宋体"/>
          <w:b/>
          <w:color w:val="auto"/>
          <w:sz w:val="24"/>
          <w:highlight w:val="none"/>
          <w:u w:val="single"/>
        </w:rPr>
        <w:t>（代理机构</w:t>
      </w:r>
      <w:r>
        <w:rPr>
          <w:rStyle w:val="233"/>
          <w:rFonts w:hint="eastAsia" w:ascii="宋体" w:hAnsi="宋体"/>
          <w:b/>
          <w:color w:val="auto"/>
          <w:sz w:val="24"/>
          <w:highlight w:val="none"/>
          <w:u w:val="single"/>
          <w:lang w:val="en-US" w:eastAsia="zh-CN"/>
        </w:rPr>
        <w:t>名称</w:t>
      </w:r>
      <w:r>
        <w:rPr>
          <w:rStyle w:val="233"/>
          <w:rFonts w:hint="eastAsia" w:ascii="宋体" w:hAnsi="宋体"/>
          <w:b/>
          <w:color w:val="auto"/>
          <w:sz w:val="24"/>
          <w:highlight w:val="none"/>
          <w:u w:val="single"/>
        </w:rPr>
        <w:t>）代理的（</w:t>
      </w:r>
      <w:r>
        <w:rPr>
          <w:rStyle w:val="233"/>
          <w:rFonts w:hint="eastAsia" w:ascii="宋体" w:hAnsi="宋体"/>
          <w:b/>
          <w:color w:val="auto"/>
          <w:sz w:val="24"/>
          <w:highlight w:val="none"/>
          <w:u w:val="single"/>
          <w:lang w:val="en-US" w:eastAsia="zh-CN"/>
        </w:rPr>
        <w:t>项目名称、</w:t>
      </w:r>
      <w:r>
        <w:rPr>
          <w:rStyle w:val="233"/>
          <w:rFonts w:hint="eastAsia" w:ascii="宋体" w:hAnsi="宋体"/>
          <w:b/>
          <w:color w:val="auto"/>
          <w:sz w:val="24"/>
          <w:highlight w:val="none"/>
          <w:u w:val="single"/>
        </w:rPr>
        <w:t>项目编号）</w:t>
      </w:r>
      <w:r>
        <w:rPr>
          <w:rStyle w:val="233"/>
          <w:rFonts w:hint="eastAsia" w:ascii="宋体" w:hAnsi="宋体"/>
          <w:bCs/>
          <w:color w:val="auto"/>
          <w:sz w:val="28"/>
          <w:highlight w:val="none"/>
        </w:rPr>
        <w:t>项目</w:t>
      </w:r>
      <w:r>
        <w:rPr>
          <w:rStyle w:val="233"/>
          <w:rFonts w:hint="eastAsia" w:ascii="宋体" w:hAnsi="宋体"/>
          <w:color w:val="auto"/>
          <w:sz w:val="28"/>
          <w:highlight w:val="none"/>
        </w:rPr>
        <w:t>的投标活动的合法代理人，以本公司名义全权处理一切与该项目投标有关的事务（含合同签订）。</w:t>
      </w:r>
    </w:p>
    <w:p w14:paraId="1CE52029">
      <w:pPr>
        <w:pStyle w:val="203"/>
        <w:tabs>
          <w:tab w:val="left" w:pos="5560"/>
        </w:tabs>
        <w:spacing w:line="360" w:lineRule="auto"/>
        <w:ind w:firstLine="560"/>
        <w:rPr>
          <w:rStyle w:val="192"/>
          <w:rFonts w:ascii="宋体" w:hAnsi="宋体" w:eastAsia="宋体" w:cs="Times New Roman"/>
          <w:color w:val="auto"/>
          <w:sz w:val="28"/>
          <w:highlight w:val="none"/>
        </w:rPr>
      </w:pPr>
      <w:r>
        <w:rPr>
          <w:rStyle w:val="192"/>
          <w:rFonts w:hint="eastAsia" w:ascii="宋体" w:hAnsi="宋体" w:eastAsia="宋体" w:cs="Times New Roman"/>
          <w:color w:val="auto"/>
          <w:sz w:val="28"/>
          <w:highlight w:val="none"/>
          <w:lang w:val="en-US" w:eastAsia="zh-CN" w:bidi="ar-SA"/>
        </w:rPr>
        <w:tab/>
      </w:r>
    </w:p>
    <w:p w14:paraId="092F5EBA">
      <w:pPr>
        <w:pStyle w:val="202"/>
        <w:ind w:firstLine="560"/>
        <w:rPr>
          <w:rStyle w:val="192"/>
          <w:rFonts w:eastAsia="宋体" w:cs="Times New Roman"/>
          <w:color w:val="auto"/>
          <w:highlight w:val="none"/>
        </w:rPr>
      </w:pPr>
      <w:r>
        <w:rPr>
          <w:rStyle w:val="192"/>
          <w:rFonts w:hint="eastAsia" w:ascii="宋体" w:hAnsi="宋体" w:eastAsia="宋体" w:cs="Times New Roman"/>
          <w:color w:val="auto"/>
          <w:sz w:val="28"/>
          <w:highlight w:val="none"/>
          <w:lang w:val="en-US" w:eastAsia="zh-CN" w:bidi="ar-SA"/>
        </w:rPr>
        <w:t>本授权委托书于</w:t>
      </w:r>
      <w:r>
        <w:rPr>
          <w:rStyle w:val="192"/>
          <w:rFonts w:hint="eastAsia" w:ascii="宋体" w:hAnsi="宋体" w:eastAsia="宋体" w:cs="Times New Roman"/>
          <w:color w:val="auto"/>
          <w:sz w:val="28"/>
          <w:highlight w:val="none"/>
          <w:u w:val="single"/>
          <w:lang w:val="en-US" w:eastAsia="zh-CN" w:bidi="ar-SA"/>
        </w:rPr>
        <w:t xml:space="preserve">  </w:t>
      </w:r>
      <w:r>
        <w:rPr>
          <w:rStyle w:val="192"/>
          <w:rFonts w:hint="eastAsia" w:ascii="宋体" w:hAnsi="宋体" w:cs="Times New Roman"/>
          <w:color w:val="auto"/>
          <w:sz w:val="28"/>
          <w:highlight w:val="none"/>
          <w:u w:val="single"/>
          <w:lang w:val="en-US" w:eastAsia="zh-CN" w:bidi="ar-SA"/>
        </w:rPr>
        <w:t xml:space="preserve">  </w:t>
      </w:r>
      <w:r>
        <w:rPr>
          <w:rStyle w:val="192"/>
          <w:rFonts w:hint="eastAsia" w:ascii="宋体" w:hAnsi="宋体" w:eastAsia="宋体" w:cs="Times New Roman"/>
          <w:color w:val="auto"/>
          <w:sz w:val="28"/>
          <w:highlight w:val="none"/>
          <w:lang w:val="en-US" w:eastAsia="zh-CN" w:bidi="ar-SA"/>
        </w:rPr>
        <w:t>年</w:t>
      </w:r>
      <w:r>
        <w:rPr>
          <w:rStyle w:val="192"/>
          <w:rFonts w:hint="eastAsia" w:ascii="宋体" w:hAnsi="宋体" w:eastAsia="宋体" w:cs="Times New Roman"/>
          <w:color w:val="auto"/>
          <w:sz w:val="28"/>
          <w:highlight w:val="none"/>
          <w:u w:val="single"/>
          <w:lang w:val="en-US" w:eastAsia="zh-CN" w:bidi="ar-SA"/>
        </w:rPr>
        <w:t xml:space="preserve"> </w:t>
      </w:r>
      <w:r>
        <w:rPr>
          <w:rStyle w:val="192"/>
          <w:rFonts w:hint="eastAsia" w:ascii="宋体" w:hAnsi="宋体" w:cs="Times New Roman"/>
          <w:color w:val="auto"/>
          <w:sz w:val="28"/>
          <w:highlight w:val="none"/>
          <w:u w:val="single"/>
          <w:lang w:val="en-US" w:eastAsia="zh-CN" w:bidi="ar-SA"/>
        </w:rPr>
        <w:t xml:space="preserve">  </w:t>
      </w:r>
      <w:r>
        <w:rPr>
          <w:rStyle w:val="192"/>
          <w:rFonts w:hint="eastAsia" w:ascii="宋体" w:hAnsi="宋体" w:eastAsia="宋体" w:cs="Times New Roman"/>
          <w:color w:val="auto"/>
          <w:sz w:val="28"/>
          <w:highlight w:val="none"/>
          <w:u w:val="single"/>
          <w:lang w:val="en-US" w:eastAsia="zh-CN" w:bidi="ar-SA"/>
        </w:rPr>
        <w:t xml:space="preserve"> </w:t>
      </w:r>
      <w:r>
        <w:rPr>
          <w:rStyle w:val="192"/>
          <w:rFonts w:hint="eastAsia" w:ascii="宋体" w:hAnsi="宋体" w:eastAsia="宋体" w:cs="Times New Roman"/>
          <w:color w:val="auto"/>
          <w:sz w:val="28"/>
          <w:highlight w:val="none"/>
          <w:lang w:val="en-US" w:eastAsia="zh-CN" w:bidi="ar-SA"/>
        </w:rPr>
        <w:t>月</w:t>
      </w:r>
      <w:r>
        <w:rPr>
          <w:rStyle w:val="192"/>
          <w:rFonts w:hint="eastAsia" w:ascii="宋体" w:hAnsi="宋体" w:eastAsia="宋体" w:cs="Times New Roman"/>
          <w:color w:val="auto"/>
          <w:sz w:val="28"/>
          <w:highlight w:val="none"/>
          <w:u w:val="single"/>
          <w:lang w:val="en-US" w:eastAsia="zh-CN" w:bidi="ar-SA"/>
        </w:rPr>
        <w:t xml:space="preserve"> </w:t>
      </w:r>
      <w:r>
        <w:rPr>
          <w:rStyle w:val="192"/>
          <w:rFonts w:hint="eastAsia" w:ascii="宋体" w:hAnsi="宋体" w:cs="Times New Roman"/>
          <w:color w:val="auto"/>
          <w:sz w:val="28"/>
          <w:highlight w:val="none"/>
          <w:u w:val="single"/>
          <w:lang w:val="en-US" w:eastAsia="zh-CN" w:bidi="ar-SA"/>
        </w:rPr>
        <w:t xml:space="preserve">  </w:t>
      </w:r>
      <w:r>
        <w:rPr>
          <w:rStyle w:val="192"/>
          <w:rFonts w:hint="eastAsia" w:ascii="宋体" w:hAnsi="宋体" w:eastAsia="宋体" w:cs="Times New Roman"/>
          <w:color w:val="auto"/>
          <w:sz w:val="28"/>
          <w:highlight w:val="none"/>
          <w:u w:val="single"/>
          <w:lang w:val="en-US" w:eastAsia="zh-CN" w:bidi="ar-SA"/>
        </w:rPr>
        <w:t xml:space="preserve"> </w:t>
      </w:r>
      <w:r>
        <w:rPr>
          <w:rStyle w:val="192"/>
          <w:rFonts w:hint="eastAsia" w:ascii="宋体" w:hAnsi="宋体" w:eastAsia="宋体" w:cs="Times New Roman"/>
          <w:color w:val="auto"/>
          <w:sz w:val="28"/>
          <w:highlight w:val="none"/>
          <w:lang w:val="en-US" w:eastAsia="zh-CN" w:bidi="ar-SA"/>
        </w:rPr>
        <w:t>日在</w:t>
      </w:r>
      <w:r>
        <w:rPr>
          <w:rStyle w:val="192"/>
          <w:rFonts w:ascii="宋体" w:hAnsi="宋体" w:eastAsia="宋体" w:cs="Times New Roman"/>
          <w:color w:val="auto"/>
          <w:sz w:val="28"/>
          <w:highlight w:val="none"/>
          <w:lang w:val="en-US" w:eastAsia="zh-CN" w:bidi="ar-SA"/>
        </w:rPr>
        <w:t>相应位置</w:t>
      </w:r>
      <w:r>
        <w:rPr>
          <w:rStyle w:val="192"/>
          <w:rFonts w:hint="eastAsia" w:ascii="宋体" w:hAnsi="宋体" w:eastAsia="宋体" w:cs="Times New Roman"/>
          <w:color w:val="auto"/>
          <w:sz w:val="28"/>
          <w:highlight w:val="none"/>
          <w:lang w:val="en-US" w:eastAsia="zh-CN" w:bidi="ar-SA"/>
        </w:rPr>
        <w:t>签字或盖章</w:t>
      </w:r>
      <w:r>
        <w:rPr>
          <w:rStyle w:val="192"/>
          <w:rFonts w:ascii="宋体" w:hAnsi="宋体" w:eastAsia="宋体" w:cs="Times New Roman"/>
          <w:color w:val="auto"/>
          <w:sz w:val="28"/>
          <w:highlight w:val="none"/>
          <w:lang w:val="en-US" w:eastAsia="zh-CN" w:bidi="ar-SA"/>
        </w:rPr>
        <w:t>后生效</w:t>
      </w:r>
      <w:r>
        <w:rPr>
          <w:rStyle w:val="192"/>
          <w:rFonts w:hint="eastAsia" w:ascii="宋体" w:hAnsi="宋体" w:eastAsia="宋体" w:cs="Times New Roman"/>
          <w:color w:val="auto"/>
          <w:sz w:val="28"/>
          <w:highlight w:val="none"/>
          <w:lang w:val="en-US" w:eastAsia="zh-CN" w:bidi="ar-SA"/>
        </w:rPr>
        <w:t>，特此声明。</w:t>
      </w:r>
    </w:p>
    <w:p w14:paraId="16F07431">
      <w:pPr>
        <w:pStyle w:val="203"/>
        <w:keepNext w:val="0"/>
        <w:keepLines w:val="0"/>
        <w:pageBreakBefore w:val="0"/>
        <w:widowControl w:val="0"/>
        <w:spacing w:before="157" w:after="157" w:line="360" w:lineRule="auto"/>
        <w:ind w:firstLine="560"/>
        <w:rPr>
          <w:rStyle w:val="192"/>
          <w:rFonts w:ascii="宋体" w:hAnsi="宋体" w:eastAsia="宋体" w:cs="Times New Roman"/>
          <w:color w:val="auto"/>
          <w:sz w:val="28"/>
          <w:highlight w:val="none"/>
        </w:rPr>
      </w:pPr>
      <w:r>
        <w:rPr>
          <w:rStyle w:val="192"/>
          <w:rFonts w:hint="eastAsia" w:ascii="宋体" w:hAnsi="宋体" w:eastAsia="宋体" w:cs="Times New Roman"/>
          <w:color w:val="auto"/>
          <w:sz w:val="28"/>
          <w:highlight w:val="none"/>
          <w:lang w:val="en-US" w:eastAsia="zh-CN" w:bidi="ar-SA"/>
        </w:rPr>
        <w:t>委托代理人身份证号码：</w:t>
      </w:r>
      <w:r>
        <w:rPr>
          <w:rStyle w:val="192"/>
          <w:rFonts w:hint="eastAsia" w:ascii="宋体" w:hAnsi="宋体" w:eastAsia="宋体" w:cs="Times New Roman"/>
          <w:color w:val="auto"/>
          <w:sz w:val="24"/>
          <w:szCs w:val="24"/>
          <w:highlight w:val="none"/>
          <w:u w:val="single"/>
          <w:lang w:val="en-US" w:eastAsia="zh-CN" w:bidi="ar-SA"/>
        </w:rPr>
        <w:t xml:space="preserve">                              </w:t>
      </w:r>
    </w:p>
    <w:p w14:paraId="70D6ADE0">
      <w:pPr>
        <w:pStyle w:val="203"/>
        <w:keepNext w:val="0"/>
        <w:keepLines w:val="0"/>
        <w:pageBreakBefore w:val="0"/>
        <w:widowControl w:val="0"/>
        <w:spacing w:before="157" w:after="157" w:line="360" w:lineRule="auto"/>
        <w:ind w:firstLine="560"/>
        <w:rPr>
          <w:rStyle w:val="192"/>
          <w:rFonts w:ascii="宋体" w:hAnsi="宋体" w:eastAsia="宋体" w:cs="Times New Roman"/>
          <w:color w:val="auto"/>
          <w:sz w:val="28"/>
          <w:highlight w:val="none"/>
        </w:rPr>
      </w:pPr>
      <w:r>
        <w:rPr>
          <w:rStyle w:val="192"/>
          <w:rFonts w:hint="eastAsia" w:ascii="宋体" w:hAnsi="宋体" w:eastAsia="宋体" w:cs="Times New Roman"/>
          <w:color w:val="auto"/>
          <w:sz w:val="28"/>
          <w:highlight w:val="none"/>
          <w:lang w:val="en-US" w:eastAsia="zh-CN" w:bidi="ar-SA"/>
        </w:rPr>
        <w:t>委托代理人联系电话：（手机）</w:t>
      </w:r>
      <w:r>
        <w:rPr>
          <w:rStyle w:val="192"/>
          <w:rFonts w:hint="eastAsia" w:ascii="宋体" w:hAnsi="宋体" w:eastAsia="宋体" w:cs="Times New Roman"/>
          <w:color w:val="auto"/>
          <w:sz w:val="24"/>
          <w:szCs w:val="24"/>
          <w:highlight w:val="none"/>
          <w:u w:val="single"/>
          <w:lang w:val="en-US" w:eastAsia="zh-CN" w:bidi="ar-SA"/>
        </w:rPr>
        <w:t xml:space="preserve">                          </w:t>
      </w:r>
    </w:p>
    <w:p w14:paraId="650DECEE">
      <w:pPr>
        <w:pStyle w:val="203"/>
        <w:keepNext w:val="0"/>
        <w:keepLines w:val="0"/>
        <w:pageBreakBefore w:val="0"/>
        <w:widowControl w:val="0"/>
        <w:spacing w:before="157" w:after="157" w:line="360" w:lineRule="auto"/>
        <w:ind w:firstLine="560"/>
        <w:rPr>
          <w:rStyle w:val="192"/>
          <w:rFonts w:ascii="宋体" w:hAnsi="宋体" w:eastAsia="宋体" w:cs="Times New Roman"/>
          <w:color w:val="auto"/>
          <w:sz w:val="28"/>
          <w:highlight w:val="none"/>
          <w:u w:val="single"/>
        </w:rPr>
      </w:pPr>
      <w:r>
        <w:rPr>
          <w:rStyle w:val="192"/>
          <w:rFonts w:hint="eastAsia" w:ascii="宋体" w:hAnsi="宋体" w:eastAsia="宋体" w:cs="Times New Roman"/>
          <w:color w:val="auto"/>
          <w:sz w:val="28"/>
          <w:highlight w:val="none"/>
          <w:lang w:val="en-US" w:eastAsia="zh-CN" w:bidi="ar-SA"/>
        </w:rPr>
        <w:t>法定代表人（负责人）签章</w:t>
      </w:r>
      <w:r>
        <w:rPr>
          <w:rStyle w:val="192"/>
          <w:rFonts w:hint="eastAsia" w:ascii="宋体" w:hAnsi="宋体" w:eastAsia="宋体" w:cs="Times New Roman"/>
          <w:color w:val="auto"/>
          <w:sz w:val="28"/>
          <w:highlight w:val="none"/>
          <w:u w:val="none"/>
          <w:lang w:val="en-US" w:eastAsia="zh-CN" w:bidi="ar-SA"/>
        </w:rPr>
        <w:t>：</w:t>
      </w:r>
      <w:r>
        <w:rPr>
          <w:rStyle w:val="192"/>
          <w:rFonts w:hint="eastAsia" w:ascii="宋体" w:hAnsi="宋体" w:eastAsia="宋体" w:cs="Times New Roman"/>
          <w:color w:val="auto"/>
          <w:sz w:val="28"/>
          <w:highlight w:val="none"/>
          <w:u w:val="single"/>
          <w:lang w:val="en-US" w:eastAsia="zh-CN" w:bidi="ar-SA"/>
        </w:rPr>
        <w:t xml:space="preserve">                        </w:t>
      </w:r>
    </w:p>
    <w:p w14:paraId="50BE290D">
      <w:pPr>
        <w:pStyle w:val="203"/>
        <w:keepNext w:val="0"/>
        <w:keepLines w:val="0"/>
        <w:pageBreakBefore w:val="0"/>
        <w:widowControl w:val="0"/>
        <w:spacing w:before="157" w:after="157" w:line="360" w:lineRule="auto"/>
        <w:ind w:firstLine="560"/>
        <w:rPr>
          <w:rStyle w:val="192"/>
          <w:rFonts w:ascii="宋体" w:hAnsi="宋体" w:eastAsia="宋体" w:cs="Times New Roman"/>
          <w:color w:val="auto"/>
          <w:sz w:val="28"/>
          <w:highlight w:val="none"/>
        </w:rPr>
      </w:pPr>
      <w:r>
        <w:rPr>
          <w:rStyle w:val="192"/>
          <w:rFonts w:hint="eastAsia" w:ascii="宋体" w:hAnsi="宋体" w:eastAsia="宋体" w:cs="Times New Roman"/>
          <w:color w:val="auto"/>
          <w:sz w:val="28"/>
          <w:highlight w:val="none"/>
          <w:lang w:val="en-US" w:eastAsia="zh-CN" w:bidi="ar-SA"/>
        </w:rPr>
        <w:t>供应商名称（公章）：</w:t>
      </w:r>
      <w:r>
        <w:rPr>
          <w:rStyle w:val="192"/>
          <w:rFonts w:hint="eastAsia" w:ascii="宋体" w:hAnsi="宋体" w:eastAsia="宋体" w:cs="Times New Roman"/>
          <w:color w:val="auto"/>
          <w:sz w:val="28"/>
          <w:highlight w:val="none"/>
          <w:u w:val="single"/>
          <w:lang w:val="en-US" w:eastAsia="zh-CN" w:bidi="ar-SA"/>
        </w:rPr>
        <w:t xml:space="preserve">                        </w:t>
      </w:r>
    </w:p>
    <w:p w14:paraId="0C197352">
      <w:pPr>
        <w:pStyle w:val="203"/>
        <w:keepNext w:val="0"/>
        <w:keepLines w:val="0"/>
        <w:pageBreakBefore w:val="0"/>
        <w:widowControl w:val="0"/>
        <w:spacing w:before="157" w:after="157" w:line="360" w:lineRule="auto"/>
        <w:ind w:firstLine="560"/>
        <w:rPr>
          <w:rStyle w:val="192"/>
          <w:rFonts w:ascii="宋体" w:hAnsi="宋体" w:eastAsia="宋体" w:cs="Times New Roman"/>
          <w:color w:val="auto"/>
          <w:sz w:val="28"/>
          <w:highlight w:val="none"/>
          <w:u w:val="single"/>
        </w:rPr>
      </w:pPr>
      <w:r>
        <w:rPr>
          <w:rStyle w:val="192"/>
          <w:rFonts w:hint="eastAsia" w:ascii="宋体" w:hAnsi="宋体" w:eastAsia="宋体" w:cs="Times New Roman"/>
          <w:color w:val="auto"/>
          <w:sz w:val="28"/>
          <w:highlight w:val="none"/>
          <w:lang w:val="en-US" w:eastAsia="zh-CN" w:bidi="ar-SA"/>
        </w:rPr>
        <w:t>日     期：</w:t>
      </w:r>
    </w:p>
    <w:p w14:paraId="29F8C731">
      <w:pPr>
        <w:pStyle w:val="203"/>
        <w:spacing w:line="360" w:lineRule="auto"/>
        <w:ind w:firstLine="562"/>
        <w:rPr>
          <w:rStyle w:val="192"/>
          <w:rFonts w:ascii="宋体" w:hAnsi="宋体" w:eastAsia="宋体" w:cs="Times New Roman"/>
          <w:color w:val="auto"/>
          <w:sz w:val="24"/>
          <w:szCs w:val="21"/>
          <w:highlight w:val="none"/>
          <w:u w:val="single"/>
        </w:rPr>
      </w:pPr>
      <w:r>
        <w:rPr>
          <w:rStyle w:val="192"/>
          <w:rFonts w:hint="eastAsia" w:ascii="宋体" w:hAnsi="宋体" w:eastAsia="宋体" w:cs="Times New Roman"/>
          <w:b/>
          <w:color w:val="auto"/>
          <w:sz w:val="28"/>
          <w:szCs w:val="28"/>
          <w:highlight w:val="none"/>
          <w:lang w:val="en-US" w:eastAsia="zh-CN" w:bidi="ar-SA"/>
        </w:rPr>
        <w:t>附：委托代理人居民身份证扫描件</w:t>
      </w:r>
    </w:p>
    <w:p w14:paraId="21D7ED8D">
      <w:pPr>
        <w:pStyle w:val="202"/>
        <w:ind w:firstLine="480"/>
        <w:rPr>
          <w:rStyle w:val="192"/>
          <w:rFonts w:eastAsia="宋体" w:cs="Times New Roman"/>
          <w:color w:val="auto"/>
          <w:sz w:val="22"/>
          <w:szCs w:val="22"/>
          <w:highlight w:val="none"/>
        </w:rPr>
      </w:pPr>
      <w:r>
        <w:rPr>
          <w:rStyle w:val="192"/>
          <w:rFonts w:hint="eastAsia" w:ascii="宋体" w:hAnsi="宋体" w:eastAsia="宋体" w:cs="Times New Roman"/>
          <w:color w:val="auto"/>
          <w:sz w:val="24"/>
          <w:szCs w:val="24"/>
          <w:highlight w:val="none"/>
          <w:u w:val="single"/>
          <w:lang w:val="en-US" w:eastAsia="zh-CN" w:bidi="ar-SA"/>
        </w:rPr>
        <w:t>注：“法定代表人</w:t>
      </w:r>
      <w:r>
        <w:rPr>
          <w:rStyle w:val="192"/>
          <w:rFonts w:hint="eastAsia" w:ascii="宋体" w:hAnsi="宋体" w:eastAsia="宋体" w:cs="Times New Roman"/>
          <w:color w:val="auto"/>
          <w:sz w:val="24"/>
          <w:szCs w:val="22"/>
          <w:highlight w:val="none"/>
          <w:u w:val="single"/>
          <w:lang w:val="en-US" w:eastAsia="zh-CN" w:bidi="ar-SA"/>
        </w:rPr>
        <w:t>（负责人）</w:t>
      </w:r>
      <w:r>
        <w:rPr>
          <w:rStyle w:val="192"/>
          <w:rFonts w:hint="eastAsia" w:ascii="宋体" w:hAnsi="宋体" w:eastAsia="宋体" w:cs="Times New Roman"/>
          <w:color w:val="auto"/>
          <w:sz w:val="24"/>
          <w:szCs w:val="24"/>
          <w:highlight w:val="none"/>
          <w:u w:val="single"/>
          <w:lang w:val="en-US" w:eastAsia="zh-CN" w:bidi="ar-SA"/>
        </w:rPr>
        <w:t>”授权委托其他人（必须为供应商正式员工，证明材料：</w:t>
      </w:r>
      <w:r>
        <w:rPr>
          <w:rStyle w:val="192"/>
          <w:rFonts w:hint="eastAsia" w:ascii="宋体" w:hAnsi="宋体" w:eastAsia="宋体" w:cs="Times New Roman"/>
          <w:b/>
          <w:bCs/>
          <w:color w:val="auto"/>
          <w:sz w:val="24"/>
          <w:szCs w:val="24"/>
          <w:highlight w:val="none"/>
          <w:u w:val="single"/>
          <w:lang w:val="en-US" w:eastAsia="zh-CN" w:bidi="ar-SA"/>
        </w:rPr>
        <w:t>劳动合同、社保交纳材料附后</w:t>
      </w:r>
      <w:r>
        <w:rPr>
          <w:rStyle w:val="192"/>
          <w:rFonts w:hint="eastAsia" w:ascii="宋体" w:hAnsi="宋体" w:eastAsia="宋体" w:cs="Times New Roman"/>
          <w:color w:val="auto"/>
          <w:sz w:val="24"/>
          <w:szCs w:val="24"/>
          <w:highlight w:val="none"/>
          <w:u w:val="single"/>
          <w:lang w:val="en-US" w:eastAsia="zh-CN" w:bidi="ar-SA"/>
        </w:rPr>
        <w:t>）</w:t>
      </w:r>
      <w:r>
        <w:rPr>
          <w:rStyle w:val="192"/>
          <w:rFonts w:ascii="宋体" w:hAnsi="宋体" w:eastAsia="宋体" w:cs="Times New Roman"/>
          <w:color w:val="auto"/>
          <w:sz w:val="24"/>
          <w:szCs w:val="24"/>
          <w:highlight w:val="none"/>
          <w:u w:val="single"/>
          <w:lang w:val="en-US" w:eastAsia="zh-CN" w:bidi="ar-SA"/>
        </w:rPr>
        <w:t>磋商</w:t>
      </w:r>
      <w:r>
        <w:rPr>
          <w:rStyle w:val="192"/>
          <w:rFonts w:hint="eastAsia" w:ascii="宋体" w:hAnsi="宋体" w:eastAsia="宋体" w:cs="Times New Roman"/>
          <w:color w:val="auto"/>
          <w:sz w:val="24"/>
          <w:szCs w:val="24"/>
          <w:highlight w:val="none"/>
          <w:u w:val="single"/>
          <w:lang w:val="en-US" w:eastAsia="zh-CN" w:bidi="ar-SA"/>
        </w:rPr>
        <w:t>的，须填写法定代表人身份证明书和本授权委托书</w:t>
      </w:r>
      <w:r>
        <w:rPr>
          <w:rStyle w:val="192"/>
          <w:rFonts w:hint="eastAsia" w:ascii="宋体" w:hAnsi="宋体" w:eastAsia="宋体" w:cs="Times New Roman"/>
          <w:color w:val="auto"/>
          <w:sz w:val="24"/>
          <w:szCs w:val="22"/>
          <w:highlight w:val="none"/>
          <w:lang w:val="en-US" w:eastAsia="zh-CN" w:bidi="ar-SA"/>
        </w:rPr>
        <w:t>。</w:t>
      </w:r>
    </w:p>
    <w:p w14:paraId="546E9E76">
      <w:pPr>
        <w:pStyle w:val="274"/>
        <w:jc w:val="center"/>
        <w:outlineLvl w:val="2"/>
        <w:rPr>
          <w:rStyle w:val="192"/>
          <w:rFonts w:ascii="Times New Roman" w:hAnsi="Times New Roman" w:eastAsia="Times New Roman" w:cs="Times New Roman"/>
          <w:color w:val="auto"/>
          <w:highlight w:val="none"/>
        </w:rPr>
      </w:pPr>
      <w:r>
        <w:rPr>
          <w:rStyle w:val="192"/>
          <w:rFonts w:ascii="Times New Roman" w:hAnsi="Times New Roman" w:eastAsia="Times New Roman" w:cs="Times New Roman"/>
          <w:color w:val="auto"/>
          <w:highlight w:val="none"/>
        </w:rPr>
        <w:br w:type="page" w:clear="all"/>
      </w:r>
      <w:bookmarkStart w:id="625" w:name="_Toc17338"/>
      <w:r>
        <w:rPr>
          <w:rStyle w:val="192"/>
          <w:rFonts w:ascii="宋体" w:hAnsi="宋体" w:eastAsia="宋体" w:cs="宋体"/>
          <w:b/>
          <w:bCs/>
          <w:color w:val="auto"/>
          <w:sz w:val="28"/>
          <w:highlight w:val="none"/>
        </w:rPr>
        <w:t>(十)资格承诺函</w:t>
      </w:r>
      <w:bookmarkEnd w:id="625"/>
    </w:p>
    <w:p w14:paraId="2A19E496">
      <w:pPr>
        <w:pStyle w:val="275"/>
        <w:keepNext w:val="0"/>
        <w:keepLines w:val="0"/>
        <w:pageBreakBefore w:val="0"/>
        <w:widowControl w:val="0"/>
        <w:spacing w:after="312"/>
        <w:jc w:val="center"/>
        <w:rPr>
          <w:rStyle w:val="192"/>
          <w:rFonts w:hint="eastAsia" w:ascii="Calibri" w:hAnsi="Calibri" w:eastAsia="宋体" w:cs="Times New Roman"/>
          <w:color w:val="auto"/>
          <w:highlight w:val="none"/>
        </w:rPr>
      </w:pPr>
      <w:bookmarkStart w:id="626" w:name="书签4"/>
      <w:bookmarkEnd w:id="626"/>
      <w:r>
        <w:rPr>
          <w:rStyle w:val="192"/>
          <w:rFonts w:hint="eastAsia" w:ascii="宋体" w:hAnsi="宋体" w:eastAsia="宋体" w:cs="宋体"/>
          <w:b/>
          <w:bCs/>
          <w:color w:val="auto"/>
          <w:sz w:val="36"/>
          <w:szCs w:val="44"/>
          <w:highlight w:val="none"/>
          <w:lang w:eastAsia="zh-CN"/>
        </w:rPr>
        <w:t>资格承诺函</w:t>
      </w:r>
    </w:p>
    <w:p w14:paraId="3F10AA28">
      <w:pPr>
        <w:pStyle w:val="275"/>
        <w:keepNext w:val="0"/>
        <w:keepLines w:val="0"/>
        <w:pageBreakBefore w:val="0"/>
        <w:widowControl w:val="0"/>
        <w:spacing w:before="361" w:after="361" w:line="360" w:lineRule="auto"/>
        <w:rPr>
          <w:rStyle w:val="192"/>
          <w:rFonts w:ascii="仿宋" w:hAnsi="仿宋" w:eastAsia="仿宋" w:cs="仿宋"/>
          <w:color w:val="auto"/>
          <w:sz w:val="28"/>
          <w:szCs w:val="36"/>
          <w:highlight w:val="none"/>
          <w:u w:val="single"/>
        </w:rPr>
      </w:pPr>
      <w:r>
        <w:rPr>
          <w:rStyle w:val="192"/>
          <w:rFonts w:hint="eastAsia" w:ascii="仿宋" w:hAnsi="仿宋" w:eastAsia="仿宋" w:cs="仿宋"/>
          <w:color w:val="auto"/>
          <w:sz w:val="28"/>
          <w:szCs w:val="36"/>
          <w:highlight w:val="none"/>
          <w:lang w:eastAsia="zh-CN"/>
        </w:rPr>
        <w:t>致：</w:t>
      </w:r>
      <w:r>
        <w:rPr>
          <w:rStyle w:val="192"/>
          <w:rFonts w:hint="eastAsia" w:ascii="仿宋" w:hAnsi="仿宋" w:eastAsia="仿宋" w:cs="仿宋"/>
          <w:color w:val="auto"/>
          <w:sz w:val="28"/>
          <w:szCs w:val="36"/>
          <w:highlight w:val="none"/>
          <w:u w:val="single"/>
          <w:lang w:val="en-US" w:eastAsia="zh-CN"/>
        </w:rPr>
        <w:t xml:space="preserve">  （采购人、采购代理机构）  </w:t>
      </w:r>
    </w:p>
    <w:p w14:paraId="65125E2B">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none"/>
        </w:rPr>
      </w:pPr>
      <w:r>
        <w:rPr>
          <w:rStyle w:val="192"/>
          <w:rFonts w:hint="eastAsia" w:ascii="仿宋" w:hAnsi="仿宋" w:eastAsia="仿宋" w:cs="仿宋"/>
          <w:color w:val="auto"/>
          <w:sz w:val="28"/>
          <w:szCs w:val="36"/>
          <w:highlight w:val="none"/>
          <w:lang w:eastAsia="zh-CN"/>
        </w:rPr>
        <w:t>我单位参与</w:t>
      </w:r>
      <w:r>
        <w:rPr>
          <w:rStyle w:val="192"/>
          <w:rFonts w:hint="eastAsia" w:ascii="仿宋" w:hAnsi="仿宋" w:eastAsia="仿宋" w:cs="仿宋"/>
          <w:color w:val="auto"/>
          <w:sz w:val="28"/>
          <w:szCs w:val="36"/>
          <w:highlight w:val="none"/>
          <w:u w:val="single"/>
          <w:lang w:val="en-US" w:eastAsia="zh-CN"/>
        </w:rPr>
        <w:t xml:space="preserve">   （项目名称）  （项目编号：   ）</w:t>
      </w:r>
      <w:r>
        <w:rPr>
          <w:rStyle w:val="192"/>
          <w:rFonts w:hint="eastAsia" w:ascii="仿宋" w:hAnsi="仿宋" w:eastAsia="仿宋" w:cs="仿宋"/>
          <w:color w:val="auto"/>
          <w:sz w:val="28"/>
          <w:szCs w:val="36"/>
          <w:highlight w:val="none"/>
          <w:u w:val="none"/>
          <w:lang w:val="en-US" w:eastAsia="zh-CN"/>
        </w:rPr>
        <w:t>项目的政府采购活动，现承诺如下：</w:t>
      </w:r>
    </w:p>
    <w:p w14:paraId="24A058F7">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none"/>
        </w:rPr>
      </w:pPr>
      <w:r>
        <w:rPr>
          <w:rStyle w:val="192"/>
          <w:rFonts w:hint="eastAsia" w:ascii="仿宋" w:hAnsi="仿宋" w:eastAsia="仿宋" w:cs="仿宋"/>
          <w:color w:val="auto"/>
          <w:sz w:val="28"/>
          <w:szCs w:val="36"/>
          <w:highlight w:val="none"/>
          <w:u w:val="none"/>
          <w:lang w:val="en-US" w:eastAsia="zh-CN"/>
        </w:rPr>
        <w:t>1.我方具有良好的商业信誉和健全的财务会计制度。</w:t>
      </w:r>
    </w:p>
    <w:p w14:paraId="330233C8">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none"/>
        </w:rPr>
      </w:pPr>
      <w:r>
        <w:rPr>
          <w:rStyle w:val="192"/>
          <w:rFonts w:hint="eastAsia" w:ascii="仿宋" w:hAnsi="仿宋" w:eastAsia="仿宋" w:cs="仿宋"/>
          <w:color w:val="auto"/>
          <w:sz w:val="28"/>
          <w:szCs w:val="36"/>
          <w:highlight w:val="none"/>
          <w:u w:val="none"/>
          <w:lang w:val="en-US" w:eastAsia="zh-CN"/>
        </w:rPr>
        <w:t>2.我方具有履行合同所必需的设备和专业技术能力。</w:t>
      </w:r>
    </w:p>
    <w:p w14:paraId="610CDD8C">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none"/>
        </w:rPr>
      </w:pPr>
      <w:r>
        <w:rPr>
          <w:rStyle w:val="192"/>
          <w:rFonts w:hint="eastAsia" w:ascii="仿宋" w:hAnsi="仿宋" w:eastAsia="仿宋" w:cs="仿宋"/>
          <w:color w:val="auto"/>
          <w:sz w:val="28"/>
          <w:szCs w:val="36"/>
          <w:highlight w:val="none"/>
          <w:u w:val="none"/>
          <w:lang w:val="en-US" w:eastAsia="zh-CN"/>
        </w:rPr>
        <w:t>3.我方具有依法缴纳税收和社会保障资金的良好记录。</w:t>
      </w:r>
    </w:p>
    <w:p w14:paraId="6B1C3B1D">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none"/>
        </w:rPr>
      </w:pPr>
      <w:r>
        <w:rPr>
          <w:rStyle w:val="192"/>
          <w:rFonts w:hint="eastAsia" w:ascii="仿宋" w:hAnsi="仿宋" w:eastAsia="仿宋" w:cs="仿宋"/>
          <w:color w:val="auto"/>
          <w:sz w:val="28"/>
          <w:szCs w:val="36"/>
          <w:highlight w:val="none"/>
          <w:u w:val="none"/>
          <w:lang w:val="en-US" w:eastAsia="zh-CN"/>
        </w:rPr>
        <w:t>4.我方参加政府采购活动前三年内，在经营活动中没有重大违法记录。</w:t>
      </w:r>
    </w:p>
    <w:p w14:paraId="053C7E1D">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none"/>
        </w:rPr>
      </w:pPr>
      <w:r>
        <w:rPr>
          <w:rStyle w:val="192"/>
          <w:rFonts w:hint="eastAsia" w:ascii="仿宋" w:hAnsi="仿宋" w:eastAsia="仿宋" w:cs="仿宋"/>
          <w:color w:val="auto"/>
          <w:sz w:val="28"/>
          <w:szCs w:val="36"/>
          <w:highlight w:val="none"/>
          <w:u w:val="none"/>
          <w:lang w:val="en-US" w:eastAsia="zh-CN"/>
        </w:rPr>
        <w:t>若我单位承诺不实，自愿承担提供虚假材料谋取中标、成交的法律责任。</w:t>
      </w:r>
    </w:p>
    <w:p w14:paraId="1AFE3EAA">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none"/>
        </w:rPr>
      </w:pPr>
    </w:p>
    <w:p w14:paraId="344588BF">
      <w:pPr>
        <w:pStyle w:val="275"/>
        <w:keepNext w:val="0"/>
        <w:keepLines w:val="0"/>
        <w:pageBreakBefore w:val="0"/>
        <w:widowControl w:val="0"/>
        <w:spacing w:line="360" w:lineRule="auto"/>
        <w:ind w:firstLine="561"/>
        <w:rPr>
          <w:rStyle w:val="192"/>
          <w:rFonts w:ascii="仿宋" w:hAnsi="仿宋" w:eastAsia="仿宋" w:cs="仿宋"/>
          <w:color w:val="auto"/>
          <w:sz w:val="28"/>
          <w:szCs w:val="36"/>
          <w:highlight w:val="none"/>
          <w:u w:val="single"/>
        </w:rPr>
      </w:pPr>
      <w:r>
        <w:rPr>
          <w:rStyle w:val="192"/>
          <w:rFonts w:hint="eastAsia" w:ascii="仿宋" w:hAnsi="仿宋" w:eastAsia="仿宋" w:cs="仿宋"/>
          <w:color w:val="auto"/>
          <w:sz w:val="28"/>
          <w:szCs w:val="36"/>
          <w:highlight w:val="none"/>
          <w:u w:val="none"/>
          <w:lang w:val="en-US" w:eastAsia="zh-CN"/>
        </w:rPr>
        <w:t>投标（响应）供应商（全称并盖章）：</w:t>
      </w:r>
      <w:r>
        <w:rPr>
          <w:rStyle w:val="192"/>
          <w:rFonts w:hint="eastAsia" w:ascii="仿宋" w:hAnsi="仿宋" w:eastAsia="仿宋" w:cs="仿宋"/>
          <w:color w:val="auto"/>
          <w:sz w:val="28"/>
          <w:szCs w:val="36"/>
          <w:highlight w:val="none"/>
          <w:u w:val="single"/>
          <w:lang w:val="en-US" w:eastAsia="zh-CN"/>
        </w:rPr>
        <w:t xml:space="preserve">         </w:t>
      </w:r>
    </w:p>
    <w:p w14:paraId="39104318">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none"/>
        </w:rPr>
      </w:pPr>
      <w:r>
        <w:rPr>
          <w:rStyle w:val="192"/>
          <w:rFonts w:hint="eastAsia" w:ascii="仿宋" w:hAnsi="仿宋" w:eastAsia="仿宋" w:cs="仿宋"/>
          <w:color w:val="auto"/>
          <w:sz w:val="28"/>
          <w:szCs w:val="36"/>
          <w:highlight w:val="none"/>
          <w:u w:val="none"/>
          <w:lang w:val="en-US" w:eastAsia="zh-CN"/>
        </w:rPr>
        <w:t>供应商法定代表人或授权代表（签字或签章）：</w:t>
      </w:r>
      <w:r>
        <w:rPr>
          <w:rStyle w:val="192"/>
          <w:rFonts w:hint="eastAsia" w:ascii="仿宋" w:hAnsi="仿宋" w:eastAsia="仿宋" w:cs="仿宋"/>
          <w:color w:val="auto"/>
          <w:sz w:val="28"/>
          <w:szCs w:val="36"/>
          <w:highlight w:val="none"/>
          <w:u w:val="single"/>
          <w:lang w:val="en-US" w:eastAsia="zh-CN"/>
        </w:rPr>
        <w:t xml:space="preserve">         </w:t>
      </w:r>
    </w:p>
    <w:p w14:paraId="45DC0953">
      <w:pPr>
        <w:pStyle w:val="275"/>
        <w:keepNext w:val="0"/>
        <w:keepLines w:val="0"/>
        <w:pageBreakBefore w:val="0"/>
        <w:widowControl w:val="0"/>
        <w:spacing w:line="360" w:lineRule="auto"/>
        <w:ind w:firstLine="561"/>
        <w:rPr>
          <w:rStyle w:val="192"/>
          <w:rFonts w:hint="eastAsia" w:ascii="仿宋" w:hAnsi="仿宋" w:eastAsia="仿宋" w:cs="仿宋"/>
          <w:color w:val="auto"/>
          <w:sz w:val="28"/>
          <w:szCs w:val="36"/>
          <w:highlight w:val="none"/>
          <w:u w:val="single"/>
        </w:rPr>
      </w:pPr>
      <w:r>
        <w:rPr>
          <w:rStyle w:val="192"/>
          <w:rFonts w:hint="eastAsia" w:ascii="仿宋" w:hAnsi="仿宋" w:eastAsia="仿宋" w:cs="仿宋"/>
          <w:color w:val="auto"/>
          <w:sz w:val="28"/>
          <w:szCs w:val="36"/>
          <w:highlight w:val="none"/>
          <w:u w:val="none"/>
          <w:lang w:val="en-US" w:eastAsia="zh-CN"/>
        </w:rPr>
        <w:t>日期：</w:t>
      </w:r>
      <w:r>
        <w:rPr>
          <w:rStyle w:val="192"/>
          <w:rFonts w:hint="eastAsia" w:ascii="仿宋" w:hAnsi="仿宋" w:eastAsia="仿宋" w:cs="仿宋"/>
          <w:color w:val="auto"/>
          <w:sz w:val="28"/>
          <w:szCs w:val="36"/>
          <w:highlight w:val="none"/>
          <w:u w:val="single"/>
          <w:lang w:val="en-US" w:eastAsia="zh-CN"/>
        </w:rPr>
        <w:t xml:space="preserve">         </w:t>
      </w:r>
    </w:p>
    <w:p w14:paraId="5EC32470">
      <w:pPr>
        <w:pStyle w:val="275"/>
        <w:keepNext w:val="0"/>
        <w:keepLines w:val="0"/>
        <w:pageBreakBefore w:val="0"/>
        <w:widowControl w:val="0"/>
        <w:rPr>
          <w:rStyle w:val="192"/>
          <w:rFonts w:hint="eastAsia" w:ascii="仿宋" w:hAnsi="仿宋" w:eastAsia="仿宋" w:cs="仿宋"/>
          <w:color w:val="auto"/>
          <w:sz w:val="28"/>
          <w:szCs w:val="36"/>
          <w:highlight w:val="none"/>
          <w:u w:val="single"/>
        </w:rPr>
      </w:pPr>
    </w:p>
    <w:p w14:paraId="231A7B17">
      <w:pPr>
        <w:pStyle w:val="275"/>
        <w:keepNext w:val="0"/>
        <w:keepLines w:val="0"/>
        <w:pageBreakBefore w:val="0"/>
        <w:widowControl w:val="0"/>
        <w:rPr>
          <w:rStyle w:val="192"/>
          <w:rFonts w:hint="eastAsia" w:ascii="仿宋" w:hAnsi="仿宋" w:eastAsia="仿宋" w:cs="仿宋"/>
          <w:color w:val="auto"/>
          <w:sz w:val="28"/>
          <w:szCs w:val="36"/>
          <w:highlight w:val="none"/>
          <w:u w:val="single"/>
        </w:rPr>
      </w:pPr>
    </w:p>
    <w:p w14:paraId="0DDD346E">
      <w:pPr>
        <w:pStyle w:val="275"/>
        <w:keepNext w:val="0"/>
        <w:keepLines w:val="0"/>
        <w:pageBreakBefore w:val="0"/>
        <w:widowControl w:val="0"/>
        <w:rPr>
          <w:rStyle w:val="192"/>
          <w:rFonts w:hint="eastAsia" w:ascii="仿宋" w:hAnsi="仿宋" w:eastAsia="仿宋" w:cs="仿宋"/>
          <w:color w:val="auto"/>
          <w:sz w:val="24"/>
          <w:szCs w:val="32"/>
          <w:highlight w:val="none"/>
          <w:u w:val="single"/>
        </w:rPr>
      </w:pPr>
      <w:r>
        <w:rPr>
          <w:color w:val="auto"/>
          <w:sz w:val="24"/>
          <w:szCs w:val="22"/>
          <w:highlight w:val="none"/>
        </w:rPr>
        <mc:AlternateContent>
          <mc:Choice Requires="wps">
            <w:drawing>
              <wp:anchor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5" name="直接连接符 1"/>
                <wp:cNvGraphicFramePr/>
                <a:graphic xmlns:a="http://schemas.openxmlformats.org/drawingml/2006/main">
                  <a:graphicData uri="http://schemas.microsoft.com/office/word/2010/wordprocessingShape">
                    <wps:wsp>
                      <wps:cNvCnPr/>
                      <wps:spPr bwMode="auto">
                        <a:xfrm>
                          <a:off x="0" y="0"/>
                          <a:ext cx="6169025" cy="0"/>
                        </a:xfrm>
                        <a:prstGeom prst="line">
                          <a:avLst/>
                        </a:prstGeom>
                        <a:noFill/>
                        <a:ln w="19050">
                          <a:solidFill>
                            <a:srgbClr val="000000"/>
                          </a:solidFill>
                          <a:prstDash val="dashDot"/>
                        </a:ln>
                      </wps:spPr>
                      <wps:bodyPr rot="0">
                        <a:noAutofit/>
                      </wps:bodyPr>
                    </wps:wsp>
                  </a:graphicData>
                </a:graphic>
              </wp:anchor>
            </w:drawing>
          </mc:Choice>
          <mc:Fallback>
            <w:pict>
              <v:line id="直接连接符 1" o:spid="_x0000_s1026" o:spt="20" style="position:absolute;left:0pt;margin-left:-17.65pt;margin-top:6.4pt;height:0pt;width:485.75pt;z-index:251659264;mso-width-relative:page;mso-height-relative:page;" filled="f" stroked="t" coordsize="21600,21600" o:gfxdata="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dW+OU1QAAAAkBAAAPAAAA&#10;AAAAAAEAIAAAACIAAABkcnMvZG93bnJldi54bWxQSwECFAAUAAAACACHTuJAOW9Xr98BAACsAwAA&#10;DgAAAAAAAAABACAAAAAkAQAAZHJzL2Uyb0RvYy54bWxQSwUGAAAAAAYABgBZAQAAdQUAAAAA&#10;">
                <v:fill on="f" focussize="0,0"/>
                <v:stroke weight="1.5pt" color="#000000" joinstyle="round" dashstyle="dashDot"/>
                <v:imagedata o:title=""/>
                <o:lock v:ext="edit" aspectratio="f"/>
              </v:line>
            </w:pict>
          </mc:Fallback>
        </mc:AlternateContent>
      </w:r>
    </w:p>
    <w:p w14:paraId="46E8587D">
      <w:pPr>
        <w:pStyle w:val="275"/>
        <w:keepNext w:val="0"/>
        <w:keepLines w:val="0"/>
        <w:pageBreakBefore w:val="0"/>
        <w:widowControl w:val="0"/>
        <w:spacing w:line="160" w:lineRule="atLeast"/>
        <w:rPr>
          <w:rStyle w:val="192"/>
          <w:rFonts w:hint="eastAsia" w:ascii="仿宋" w:hAnsi="仿宋" w:eastAsia="仿宋" w:cs="仿宋"/>
          <w:color w:val="auto"/>
          <w:sz w:val="24"/>
          <w:szCs w:val="24"/>
          <w:highlight w:val="none"/>
          <w:u w:val="none"/>
        </w:rPr>
      </w:pPr>
      <w:r>
        <w:rPr>
          <w:rStyle w:val="192"/>
          <w:rFonts w:hint="eastAsia" w:ascii="仿宋" w:hAnsi="仿宋" w:eastAsia="仿宋" w:cs="仿宋"/>
          <w:color w:val="auto"/>
          <w:sz w:val="24"/>
          <w:szCs w:val="24"/>
          <w:highlight w:val="none"/>
          <w:u w:val="none"/>
          <w:lang w:val="en-US" w:eastAsia="zh-CN"/>
        </w:rPr>
        <w:t>说明：1.供应商可自行选择是否提供本承诺函，若不提供本承诺函的，应按采购文件要求提供相应的证明材料。</w:t>
      </w:r>
    </w:p>
    <w:p w14:paraId="629F794D">
      <w:pPr>
        <w:pStyle w:val="275"/>
        <w:keepNext w:val="0"/>
        <w:keepLines w:val="0"/>
        <w:pageBreakBefore w:val="0"/>
        <w:widowControl w:val="0"/>
        <w:spacing w:line="160" w:lineRule="atLeast"/>
        <w:ind w:firstLine="720"/>
        <w:rPr>
          <w:rStyle w:val="192"/>
          <w:rFonts w:ascii="仿宋" w:hAnsi="仿宋" w:eastAsia="仿宋" w:cs="仿宋"/>
          <w:color w:val="auto"/>
          <w:sz w:val="24"/>
          <w:szCs w:val="24"/>
          <w:highlight w:val="none"/>
          <w:u w:val="none"/>
        </w:rPr>
      </w:pPr>
      <w:r>
        <w:rPr>
          <w:rStyle w:val="192"/>
          <w:rFonts w:hint="eastAsia" w:ascii="仿宋" w:hAnsi="仿宋" w:eastAsia="仿宋" w:cs="仿宋"/>
          <w:color w:val="auto"/>
          <w:sz w:val="24"/>
          <w:szCs w:val="24"/>
          <w:highlight w:val="none"/>
          <w:u w:val="none"/>
          <w:lang w:val="en-US" w:eastAsia="zh-CN"/>
        </w:rPr>
        <w:t>2.供应商可删减承诺事项，删减的承诺事项须按采购文件要求提供相应的证明材料。比如删去本承诺函第3项，则应按采购文件要求提供依法缴纳税收和社会保障资金的良好记录。</w:t>
      </w:r>
    </w:p>
    <w:p w14:paraId="38889C54">
      <w:pPr>
        <w:pStyle w:val="276"/>
        <w:jc w:val="center"/>
        <w:outlineLvl w:val="1"/>
        <w:rPr>
          <w:rStyle w:val="192"/>
          <w:rFonts w:ascii="Times New Roman" w:hAnsi="Times New Roman" w:eastAsia="Times New Roman" w:cs="Times New Roman"/>
          <w:color w:val="auto"/>
          <w:highlight w:val="none"/>
        </w:rPr>
      </w:pPr>
      <w:r>
        <w:rPr>
          <w:rStyle w:val="192"/>
          <w:rFonts w:ascii="Times New Roman" w:hAnsi="Times New Roman" w:eastAsia="Times New Roman" w:cs="Times New Roman"/>
          <w:color w:val="auto"/>
          <w:highlight w:val="none"/>
        </w:rPr>
        <w:br w:type="page" w:clear="all"/>
      </w:r>
      <w:bookmarkStart w:id="627" w:name="_Toc1029"/>
      <w:r>
        <w:rPr>
          <w:rStyle w:val="192"/>
          <w:rFonts w:ascii="宋体" w:hAnsi="宋体" w:eastAsia="宋体" w:cs="宋体"/>
          <w:b/>
          <w:bCs/>
          <w:color w:val="auto"/>
          <w:sz w:val="32"/>
          <w:highlight w:val="none"/>
        </w:rPr>
        <w:t>二、技术部分</w:t>
      </w:r>
      <w:bookmarkEnd w:id="627"/>
    </w:p>
    <w:p w14:paraId="30AF6149">
      <w:pPr>
        <w:pStyle w:val="277"/>
        <w:jc w:val="center"/>
        <w:outlineLvl w:val="2"/>
        <w:rPr>
          <w:rStyle w:val="192"/>
          <w:rFonts w:ascii="宋体" w:hAnsi="宋体" w:eastAsia="宋体" w:cs="宋体"/>
          <w:b w:val="0"/>
          <w:color w:val="auto"/>
          <w:sz w:val="28"/>
          <w:highlight w:val="none"/>
        </w:rPr>
      </w:pPr>
      <w:bookmarkStart w:id="628" w:name="_Toc23259"/>
      <w:r>
        <w:rPr>
          <w:rStyle w:val="192"/>
          <w:rFonts w:ascii="宋体" w:hAnsi="宋体" w:eastAsia="宋体" w:cs="宋体"/>
          <w:b w:val="0"/>
          <w:color w:val="auto"/>
          <w:sz w:val="28"/>
          <w:highlight w:val="none"/>
        </w:rPr>
        <w:t>(一)</w:t>
      </w:r>
      <w:r>
        <w:rPr>
          <w:rStyle w:val="192"/>
          <w:rFonts w:hint="eastAsia" w:ascii="宋体" w:hAnsi="宋体" w:eastAsia="宋体" w:cs="宋体"/>
          <w:b w:val="0"/>
          <w:color w:val="auto"/>
          <w:sz w:val="28"/>
          <w:highlight w:val="none"/>
          <w:lang w:eastAsia="zh-CN"/>
        </w:rPr>
        <w:t>施工</w:t>
      </w:r>
      <w:r>
        <w:rPr>
          <w:rStyle w:val="192"/>
          <w:rFonts w:ascii="宋体" w:hAnsi="宋体" w:eastAsia="宋体" w:cs="宋体"/>
          <w:b w:val="0"/>
          <w:color w:val="auto"/>
          <w:sz w:val="28"/>
          <w:highlight w:val="none"/>
        </w:rPr>
        <w:t>方案</w:t>
      </w:r>
      <w:bookmarkEnd w:id="628"/>
    </w:p>
    <w:p w14:paraId="50E3F5AA">
      <w:pPr>
        <w:pStyle w:val="278"/>
        <w:jc w:val="right"/>
        <w:outlineLvl w:val="1"/>
        <w:rPr>
          <w:rStyle w:val="192"/>
          <w:rFonts w:hint="eastAsia" w:ascii="宋体" w:hAnsi="宋体" w:eastAsia="宋体" w:cs="Times New Roman"/>
          <w:color w:val="auto"/>
          <w:sz w:val="22"/>
          <w:szCs w:val="22"/>
          <w:highlight w:val="none"/>
          <w:u w:val="none"/>
        </w:rPr>
      </w:pPr>
      <w:r>
        <w:rPr>
          <w:rStyle w:val="192"/>
          <w:rFonts w:ascii="宋体" w:hAnsi="宋体" w:eastAsia="宋体" w:cs="宋体"/>
          <w:b w:val="0"/>
          <w:color w:val="auto"/>
          <w:sz w:val="28"/>
          <w:highlight w:val="none"/>
        </w:rPr>
        <w:br w:type="page" w:clear="all"/>
      </w:r>
    </w:p>
    <w:p w14:paraId="1552C0FC">
      <w:pPr>
        <w:pStyle w:val="313"/>
        <w:jc w:val="center"/>
        <w:outlineLvl w:val="2"/>
        <w:rPr>
          <w:rStyle w:val="34"/>
          <w:rFonts w:hint="eastAsia" w:ascii="Times New Roman" w:hAnsi="Times New Roman" w:eastAsia="宋体" w:cs="Times New Roman"/>
          <w:color w:val="auto"/>
          <w:highlight w:val="none"/>
        </w:rPr>
      </w:pPr>
      <w:bookmarkStart w:id="629" w:name="_Toc9059"/>
      <w:r>
        <w:rPr>
          <w:rStyle w:val="192"/>
          <w:rFonts w:ascii="宋体" w:hAnsi="宋体" w:eastAsia="宋体" w:cs="宋体"/>
          <w:b w:val="0"/>
          <w:color w:val="auto"/>
          <w:sz w:val="28"/>
          <w:highlight w:val="none"/>
        </w:rPr>
        <w:t>(</w:t>
      </w:r>
      <w:r>
        <w:rPr>
          <w:rStyle w:val="192"/>
          <w:rFonts w:hint="eastAsia" w:ascii="宋体" w:hAnsi="宋体" w:eastAsia="宋体" w:cs="宋体"/>
          <w:b w:val="0"/>
          <w:color w:val="auto"/>
          <w:sz w:val="28"/>
          <w:highlight w:val="none"/>
          <w:lang w:eastAsia="zh-CN"/>
        </w:rPr>
        <w:t>二</w:t>
      </w:r>
      <w:r>
        <w:rPr>
          <w:rStyle w:val="192"/>
          <w:rFonts w:ascii="宋体" w:hAnsi="宋体" w:eastAsia="宋体" w:cs="宋体"/>
          <w:b w:val="0"/>
          <w:color w:val="auto"/>
          <w:sz w:val="28"/>
          <w:highlight w:val="none"/>
        </w:rPr>
        <w:t>)</w:t>
      </w:r>
      <w:r>
        <w:rPr>
          <w:rStyle w:val="192"/>
          <w:rFonts w:hint="eastAsia" w:ascii="宋体" w:hAnsi="宋体" w:eastAsia="宋体" w:cs="宋体"/>
          <w:b w:val="0"/>
          <w:color w:val="auto"/>
          <w:sz w:val="28"/>
          <w:highlight w:val="none"/>
          <w:lang w:eastAsia="zh-CN"/>
        </w:rPr>
        <w:t>技术（服务）及商务</w:t>
      </w:r>
      <w:r>
        <w:rPr>
          <w:rStyle w:val="34"/>
          <w:rFonts w:ascii="宋体" w:hAnsi="宋体" w:eastAsia="宋体" w:cs="宋体"/>
          <w:b w:val="0"/>
          <w:color w:val="auto"/>
          <w:sz w:val="28"/>
          <w:highlight w:val="none"/>
        </w:rPr>
        <w:t>内容</w:t>
      </w:r>
      <w:r>
        <w:rPr>
          <w:rStyle w:val="34"/>
          <w:rFonts w:hint="eastAsia" w:ascii="宋体" w:hAnsi="宋体" w:eastAsia="宋体" w:cs="宋体"/>
          <w:b w:val="0"/>
          <w:color w:val="auto"/>
          <w:sz w:val="28"/>
          <w:highlight w:val="none"/>
          <w:lang w:eastAsia="zh-CN"/>
        </w:rPr>
        <w:t>响应承诺</w:t>
      </w:r>
      <w:bookmarkEnd w:id="629"/>
    </w:p>
    <w:p w14:paraId="47EBA235">
      <w:pPr>
        <w:pStyle w:val="314"/>
        <w:numPr>
          <w:ilvl w:val="0"/>
          <w:numId w:val="0"/>
        </w:numPr>
        <w:tabs>
          <w:tab w:val="left" w:pos="567"/>
          <w:tab w:val="left" w:pos="709"/>
          <w:tab w:val="left" w:pos="993"/>
        </w:tabs>
        <w:spacing w:line="560" w:lineRule="exact"/>
        <w:jc w:val="both"/>
        <w:rPr>
          <w:rStyle w:val="34"/>
          <w:rFonts w:hint="eastAsia" w:ascii="宋体" w:hAnsi="宋体" w:eastAsia="宋体" w:cs="宋体"/>
          <w:b/>
          <w:bCs/>
          <w:color w:val="auto"/>
          <w:sz w:val="24"/>
          <w:szCs w:val="22"/>
          <w:highlight w:val="none"/>
        </w:rPr>
      </w:pPr>
      <w:bookmarkStart w:id="630" w:name="书签4_0"/>
      <w:bookmarkEnd w:id="630"/>
      <w:r>
        <w:rPr>
          <w:rStyle w:val="34"/>
          <w:rFonts w:hint="eastAsia" w:ascii="宋体" w:hAnsi="宋体" w:cs="宋体"/>
          <w:b/>
          <w:bCs/>
          <w:color w:val="auto"/>
          <w:sz w:val="24"/>
          <w:szCs w:val="22"/>
          <w:highlight w:val="none"/>
          <w:lang w:val="en-US" w:eastAsia="zh-CN" w:bidi="ar-SA"/>
        </w:rPr>
        <w:t>1、</w:t>
      </w:r>
      <w:r>
        <w:rPr>
          <w:rStyle w:val="34"/>
          <w:rFonts w:hint="eastAsia" w:ascii="宋体" w:hAnsi="宋体" w:eastAsia="宋体" w:cs="宋体"/>
          <w:b/>
          <w:bCs/>
          <w:color w:val="auto"/>
          <w:sz w:val="24"/>
          <w:szCs w:val="22"/>
          <w:highlight w:val="none"/>
          <w:lang w:val="en-US" w:eastAsia="zh-CN" w:bidi="ar-SA"/>
        </w:rPr>
        <w:t>针对本项目采购文件“第四部分采购需求”所有条款内容，</w:t>
      </w:r>
      <w:r>
        <w:rPr>
          <w:rStyle w:val="34"/>
          <w:rFonts w:hint="eastAsia" w:ascii="宋体" w:hAnsi="宋体" w:eastAsia="宋体" w:cs="宋体"/>
          <w:b/>
          <w:bCs/>
          <w:color w:val="auto"/>
          <w:sz w:val="24"/>
          <w:szCs w:val="22"/>
          <w:highlight w:val="none"/>
        </w:rPr>
        <w:t>如</w:t>
      </w:r>
      <w:r>
        <w:rPr>
          <w:rStyle w:val="34"/>
          <w:rFonts w:hint="eastAsia" w:ascii="宋体" w:hAnsi="宋体" w:eastAsia="宋体" w:cs="宋体"/>
          <w:b/>
          <w:bCs/>
          <w:color w:val="auto"/>
          <w:sz w:val="24"/>
          <w:szCs w:val="22"/>
          <w:highlight w:val="none"/>
          <w:lang w:eastAsia="zh-CN"/>
        </w:rPr>
        <w:t>供应商</w:t>
      </w:r>
      <w:r>
        <w:rPr>
          <w:rStyle w:val="34"/>
          <w:rFonts w:hint="eastAsia" w:ascii="宋体" w:hAnsi="宋体" w:eastAsia="宋体" w:cs="宋体"/>
          <w:b/>
          <w:bCs/>
          <w:color w:val="auto"/>
          <w:sz w:val="24"/>
          <w:szCs w:val="22"/>
          <w:highlight w:val="none"/>
        </w:rPr>
        <w:t>完全响应，请做</w:t>
      </w:r>
      <w:r>
        <w:rPr>
          <w:rStyle w:val="34"/>
          <w:rFonts w:hint="eastAsia" w:ascii="宋体" w:hAnsi="宋体" w:eastAsia="宋体" w:cs="宋体"/>
          <w:b/>
          <w:bCs/>
          <w:color w:val="auto"/>
          <w:sz w:val="24"/>
          <w:szCs w:val="22"/>
          <w:highlight w:val="none"/>
          <w:lang w:eastAsia="zh-CN"/>
        </w:rPr>
        <w:t>如下</w:t>
      </w:r>
      <w:r>
        <w:rPr>
          <w:rStyle w:val="34"/>
          <w:rFonts w:hint="eastAsia" w:ascii="宋体" w:hAnsi="宋体" w:eastAsia="宋体" w:cs="宋体"/>
          <w:b/>
          <w:bCs/>
          <w:color w:val="auto"/>
          <w:sz w:val="24"/>
          <w:szCs w:val="22"/>
          <w:highlight w:val="none"/>
        </w:rPr>
        <w:t>承诺。</w:t>
      </w:r>
    </w:p>
    <w:p w14:paraId="0FAE91EF">
      <w:pPr>
        <w:pStyle w:val="316"/>
        <w:jc w:val="center"/>
        <w:rPr>
          <w:rFonts w:ascii="宋体" w:hAnsi="宋体"/>
          <w:b/>
          <w:color w:val="auto"/>
          <w:sz w:val="32"/>
          <w:szCs w:val="32"/>
          <w:highlight w:val="none"/>
        </w:rPr>
      </w:pPr>
      <w:r>
        <w:rPr>
          <w:rFonts w:hint="eastAsia" w:ascii="宋体" w:hAnsi="宋体"/>
          <w:b/>
          <w:color w:val="auto"/>
          <w:sz w:val="32"/>
          <w:szCs w:val="32"/>
          <w:highlight w:val="none"/>
        </w:rPr>
        <w:t>响 应 承 诺 函</w:t>
      </w:r>
    </w:p>
    <w:p w14:paraId="25E2805F">
      <w:pPr>
        <w:pStyle w:val="316"/>
        <w:spacing w:line="480" w:lineRule="atLeas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（采购人名称）    </w:t>
      </w:r>
      <w:r>
        <w:rPr>
          <w:rFonts w:hint="eastAsia" w:ascii="宋体" w:hAnsi="宋体"/>
          <w:b/>
          <w:color w:val="auto"/>
          <w:sz w:val="24"/>
          <w:szCs w:val="24"/>
          <w:highlight w:val="none"/>
        </w:rPr>
        <w:t>：</w:t>
      </w:r>
    </w:p>
    <w:p w14:paraId="266DAC19">
      <w:pPr>
        <w:pStyle w:val="314"/>
        <w:keepNext w:val="0"/>
        <w:keepLines w:val="0"/>
        <w:pageBreakBefore w:val="0"/>
        <w:widowControl w:val="0"/>
        <w:spacing w:line="480" w:lineRule="atLeast"/>
        <w:ind w:firstLine="480"/>
        <w:jc w:val="both"/>
        <w:rPr>
          <w:rStyle w:val="34"/>
          <w:rFonts w:hint="eastAsia" w:ascii="宋体" w:hAnsi="宋体" w:eastAsia="宋体" w:cs="Times New Roman"/>
          <w:b w:val="0"/>
          <w:bCs/>
          <w:color w:val="auto"/>
          <w:sz w:val="24"/>
          <w:szCs w:val="24"/>
          <w:highlight w:val="none"/>
        </w:rPr>
      </w:pPr>
      <w:r>
        <w:rPr>
          <w:rFonts w:hint="eastAsia" w:ascii="宋体" w:hAnsi="宋体"/>
          <w:bCs/>
          <w:color w:val="auto"/>
          <w:sz w:val="24"/>
          <w:szCs w:val="24"/>
          <w:highlight w:val="none"/>
        </w:rPr>
        <w:t>我单位保证：我单位及各方联合体（如有）已完全了解并熟悉</w:t>
      </w:r>
      <w:r>
        <w:rPr>
          <w:rFonts w:hint="eastAsia" w:ascii="宋体" w:hAnsi="宋体"/>
          <w:bCs/>
          <w:color w:val="auto"/>
          <w:sz w:val="24"/>
          <w:szCs w:val="24"/>
          <w:highlight w:val="none"/>
          <w:u w:val="single"/>
          <w:lang w:eastAsia="zh-CN"/>
        </w:rPr>
        <w:t>丹阳市正则高级中学宿舍修缮出新项目</w:t>
      </w:r>
      <w:r>
        <w:rPr>
          <w:rFonts w:hint="eastAsia" w:ascii="宋体" w:hAnsi="宋体"/>
          <w:bCs/>
          <w:color w:val="auto"/>
          <w:sz w:val="24"/>
          <w:szCs w:val="24"/>
          <w:highlight w:val="none"/>
          <w:u w:val="single"/>
        </w:rPr>
        <w:t>（项目编号：</w:t>
      </w:r>
      <w:r>
        <w:rPr>
          <w:rFonts w:hint="eastAsia" w:ascii="宋体" w:hAnsi="宋体"/>
          <w:bCs/>
          <w:color w:val="auto"/>
          <w:sz w:val="24"/>
          <w:szCs w:val="24"/>
          <w:highlight w:val="none"/>
          <w:u w:val="single"/>
          <w:lang w:eastAsia="zh-CN"/>
        </w:rPr>
        <w:t>JSZC-321181-DYWX-C2026-0008</w:t>
      </w:r>
      <w:r>
        <w:rPr>
          <w:rFonts w:hint="eastAsia" w:ascii="宋体" w:hAnsi="宋体"/>
          <w:bCs/>
          <w:color w:val="auto"/>
          <w:sz w:val="24"/>
          <w:szCs w:val="24"/>
          <w:highlight w:val="none"/>
          <w:u w:val="single"/>
        </w:rPr>
        <w:t>）</w:t>
      </w:r>
      <w:r>
        <w:rPr>
          <w:rFonts w:hint="eastAsia" w:ascii="宋体" w:hAnsi="宋体"/>
          <w:bCs/>
          <w:color w:val="auto"/>
          <w:sz w:val="24"/>
          <w:szCs w:val="24"/>
          <w:highlight w:val="none"/>
        </w:rPr>
        <w:t>项目</w:t>
      </w:r>
      <w:r>
        <w:rPr>
          <w:rFonts w:hint="eastAsia" w:ascii="宋体" w:hAnsi="宋体" w:cs="宋体"/>
          <w:bCs/>
          <w:color w:val="auto"/>
          <w:sz w:val="24"/>
          <w:highlight w:val="none"/>
        </w:rPr>
        <w:t>采购文件中“第四部分 采购需求”</w:t>
      </w:r>
      <w:r>
        <w:rPr>
          <w:rStyle w:val="34"/>
          <w:rFonts w:hint="eastAsia" w:ascii="宋体" w:hAnsi="宋体" w:eastAsia="宋体" w:cs="Times New Roman"/>
          <w:b w:val="0"/>
          <w:bCs/>
          <w:color w:val="auto"/>
          <w:sz w:val="24"/>
          <w:szCs w:val="24"/>
          <w:highlight w:val="none"/>
          <w:lang w:eastAsia="zh-CN"/>
        </w:rPr>
        <w:t>中的所有条款内容及要求，并且所有条款</w:t>
      </w:r>
      <w:r>
        <w:rPr>
          <w:rStyle w:val="34"/>
          <w:rFonts w:hint="eastAsia" w:ascii="宋体" w:hAnsi="宋体" w:eastAsia="宋体" w:cs="Times New Roman"/>
          <w:b w:val="0"/>
          <w:bCs/>
          <w:color w:val="auto"/>
          <w:sz w:val="24"/>
          <w:szCs w:val="24"/>
          <w:highlight w:val="none"/>
        </w:rPr>
        <w:t>完全响应，无偏离。</w:t>
      </w:r>
      <w:r>
        <w:rPr>
          <w:rStyle w:val="34"/>
          <w:rFonts w:hint="eastAsia" w:ascii="宋体" w:hAnsi="宋体" w:eastAsia="宋体" w:cs="Times New Roman"/>
          <w:b w:val="0"/>
          <w:bCs/>
          <w:color w:val="auto"/>
          <w:sz w:val="24"/>
          <w:szCs w:val="24"/>
          <w:highlight w:val="none"/>
          <w:lang w:eastAsia="zh-CN"/>
        </w:rPr>
        <w:t>如</w:t>
      </w:r>
      <w:r>
        <w:rPr>
          <w:rStyle w:val="34"/>
          <w:rFonts w:hint="eastAsia" w:ascii="宋体" w:hAnsi="宋体" w:eastAsia="宋体" w:cs="Times New Roman"/>
          <w:b w:val="0"/>
          <w:bCs/>
          <w:color w:val="auto"/>
          <w:sz w:val="24"/>
          <w:szCs w:val="24"/>
          <w:highlight w:val="none"/>
        </w:rPr>
        <w:t>我单位</w:t>
      </w:r>
      <w:r>
        <w:rPr>
          <w:rStyle w:val="34"/>
          <w:rFonts w:hint="eastAsia" w:ascii="宋体" w:hAnsi="宋体" w:eastAsia="宋体" w:cs="Times New Roman"/>
          <w:b w:val="0"/>
          <w:bCs/>
          <w:color w:val="auto"/>
          <w:sz w:val="24"/>
          <w:szCs w:val="24"/>
          <w:highlight w:val="none"/>
          <w:lang w:eastAsia="zh-CN"/>
        </w:rPr>
        <w:t>无法按照采购文件中的条款要求执行，自愿承担一切违约责任。</w:t>
      </w:r>
    </w:p>
    <w:p w14:paraId="5C42B055">
      <w:pPr>
        <w:pStyle w:val="314"/>
        <w:keepNext w:val="0"/>
        <w:keepLines w:val="0"/>
        <w:pageBreakBefore w:val="0"/>
        <w:widowControl w:val="0"/>
        <w:spacing w:line="480" w:lineRule="atLeast"/>
        <w:ind w:firstLine="480"/>
        <w:rPr>
          <w:rStyle w:val="34"/>
          <w:rFonts w:hint="eastAsia" w:ascii="宋体" w:hAnsi="宋体" w:eastAsia="宋体" w:cs="Times New Roman"/>
          <w:b w:val="0"/>
          <w:bCs/>
          <w:color w:val="auto"/>
          <w:sz w:val="24"/>
          <w:szCs w:val="24"/>
          <w:highlight w:val="none"/>
        </w:rPr>
      </w:pPr>
      <w:r>
        <w:rPr>
          <w:rStyle w:val="34"/>
          <w:rFonts w:hint="eastAsia" w:ascii="宋体" w:hAnsi="宋体" w:eastAsia="宋体" w:cs="Times New Roman"/>
          <w:b w:val="0"/>
          <w:bCs/>
          <w:color w:val="auto"/>
          <w:sz w:val="24"/>
          <w:szCs w:val="24"/>
          <w:highlight w:val="none"/>
          <w:lang w:eastAsia="zh-CN"/>
        </w:rPr>
        <w:t>特此承诺！</w:t>
      </w:r>
    </w:p>
    <w:p w14:paraId="36773D7D">
      <w:pPr>
        <w:pStyle w:val="315"/>
        <w:rPr>
          <w:rStyle w:val="34"/>
          <w:rFonts w:hint="eastAsia" w:ascii="宋体" w:hAnsi="宋体" w:cs="Times New Roman"/>
          <w:b/>
          <w:color w:val="auto"/>
          <w:sz w:val="24"/>
          <w:szCs w:val="24"/>
          <w:highlight w:val="none"/>
        </w:rPr>
      </w:pPr>
    </w:p>
    <w:p w14:paraId="16ECE1C0">
      <w:pPr>
        <w:pStyle w:val="314"/>
        <w:keepNext w:val="0"/>
        <w:keepLines w:val="0"/>
        <w:pageBreakBefore w:val="0"/>
        <w:widowControl w:val="0"/>
        <w:spacing w:line="360" w:lineRule="auto"/>
        <w:jc w:val="center"/>
        <w:rPr>
          <w:rStyle w:val="34"/>
          <w:rFonts w:ascii="宋体" w:hAnsi="宋体" w:eastAsia="宋体" w:cs="Times New Roman"/>
          <w:color w:val="auto"/>
          <w:sz w:val="24"/>
          <w:szCs w:val="24"/>
          <w:highlight w:val="none"/>
        </w:rPr>
      </w:pPr>
      <w:r>
        <w:rPr>
          <w:rStyle w:val="34"/>
          <w:rFonts w:hint="eastAsia" w:ascii="宋体" w:hAnsi="宋体" w:eastAsia="宋体" w:cs="Times New Roman"/>
          <w:color w:val="auto"/>
          <w:sz w:val="24"/>
          <w:szCs w:val="24"/>
          <w:highlight w:val="none"/>
          <w:lang w:val="en-US" w:eastAsia="zh-CN"/>
        </w:rPr>
        <w:t xml:space="preserve">                      </w:t>
      </w:r>
      <w:r>
        <w:rPr>
          <w:rStyle w:val="34"/>
          <w:rFonts w:hint="eastAsia" w:ascii="宋体" w:hAnsi="宋体" w:eastAsia="宋体" w:cs="Times New Roman"/>
          <w:color w:val="auto"/>
          <w:sz w:val="24"/>
          <w:szCs w:val="24"/>
          <w:highlight w:val="none"/>
        </w:rPr>
        <w:t>供应商名称（公章）：</w:t>
      </w:r>
    </w:p>
    <w:p w14:paraId="1ADE58FD">
      <w:pPr>
        <w:pStyle w:val="314"/>
        <w:keepNext w:val="0"/>
        <w:keepLines w:val="0"/>
        <w:pageBreakBefore w:val="0"/>
        <w:widowControl w:val="0"/>
        <w:spacing w:line="360" w:lineRule="auto"/>
        <w:jc w:val="center"/>
        <w:rPr>
          <w:rStyle w:val="34"/>
          <w:rFonts w:ascii="宋体" w:hAnsi="宋体" w:eastAsia="宋体" w:cs="Times New Roman"/>
          <w:color w:val="auto"/>
          <w:sz w:val="24"/>
          <w:szCs w:val="24"/>
          <w:highlight w:val="none"/>
        </w:rPr>
      </w:pPr>
      <w:r>
        <w:rPr>
          <w:rStyle w:val="34"/>
          <w:rFonts w:hint="eastAsia" w:ascii="宋体" w:hAnsi="宋体" w:eastAsia="宋体" w:cs="微软雅黑"/>
          <w:color w:val="auto"/>
          <w:spacing w:val="-2"/>
          <w:sz w:val="24"/>
          <w:szCs w:val="24"/>
          <w:highlight w:val="none"/>
        </w:rPr>
        <w:t>法</w:t>
      </w:r>
      <w:r>
        <w:rPr>
          <w:rStyle w:val="34"/>
          <w:rFonts w:hint="eastAsia" w:ascii="宋体" w:hAnsi="宋体" w:eastAsia="宋体" w:cs="微软雅黑"/>
          <w:color w:val="auto"/>
          <w:sz w:val="24"/>
          <w:szCs w:val="24"/>
          <w:highlight w:val="none"/>
        </w:rPr>
        <w:t>定</w:t>
      </w:r>
      <w:r>
        <w:rPr>
          <w:rStyle w:val="34"/>
          <w:rFonts w:hint="eastAsia" w:ascii="宋体" w:hAnsi="宋体" w:eastAsia="宋体" w:cs="微软雅黑"/>
          <w:color w:val="auto"/>
          <w:spacing w:val="-2"/>
          <w:sz w:val="24"/>
          <w:szCs w:val="24"/>
          <w:highlight w:val="none"/>
        </w:rPr>
        <w:t>代</w:t>
      </w:r>
      <w:r>
        <w:rPr>
          <w:rStyle w:val="34"/>
          <w:rFonts w:hint="eastAsia" w:ascii="宋体" w:hAnsi="宋体" w:eastAsia="宋体" w:cs="微软雅黑"/>
          <w:color w:val="auto"/>
          <w:sz w:val="24"/>
          <w:szCs w:val="24"/>
          <w:highlight w:val="none"/>
        </w:rPr>
        <w:t>表</w:t>
      </w:r>
      <w:r>
        <w:rPr>
          <w:rStyle w:val="34"/>
          <w:rFonts w:hint="eastAsia" w:ascii="宋体" w:hAnsi="宋体" w:eastAsia="宋体" w:cs="微软雅黑"/>
          <w:color w:val="auto"/>
          <w:spacing w:val="-2"/>
          <w:sz w:val="24"/>
          <w:szCs w:val="24"/>
          <w:highlight w:val="none"/>
        </w:rPr>
        <w:t>人</w:t>
      </w:r>
      <w:r>
        <w:rPr>
          <w:rStyle w:val="34"/>
          <w:rFonts w:hint="eastAsia" w:ascii="宋体" w:hAnsi="宋体" w:eastAsia="宋体" w:cs="Times New Roman"/>
          <w:color w:val="auto"/>
          <w:sz w:val="24"/>
          <w:szCs w:val="24"/>
          <w:highlight w:val="none"/>
        </w:rPr>
        <w:t>或其授权的代理人（签字或盖章）：</w:t>
      </w:r>
    </w:p>
    <w:p w14:paraId="2E7A841D">
      <w:pPr>
        <w:pStyle w:val="314"/>
        <w:keepNext w:val="0"/>
        <w:keepLines w:val="0"/>
        <w:pageBreakBefore w:val="0"/>
        <w:widowControl w:val="0"/>
        <w:spacing w:line="360" w:lineRule="auto"/>
        <w:jc w:val="right"/>
        <w:rPr>
          <w:rStyle w:val="34"/>
          <w:rFonts w:hint="eastAsia" w:ascii="宋体" w:hAnsi="宋体" w:eastAsia="宋体" w:cs="Times New Roman"/>
          <w:color w:val="auto"/>
          <w:sz w:val="24"/>
          <w:szCs w:val="24"/>
          <w:highlight w:val="none"/>
          <w:u w:val="none"/>
        </w:rPr>
      </w:pPr>
      <w:r>
        <w:rPr>
          <w:rStyle w:val="34"/>
          <w:rFonts w:hint="eastAsia" w:ascii="宋体" w:hAnsi="宋体" w:eastAsia="宋体" w:cs="Times New Roman"/>
          <w:color w:val="auto"/>
          <w:sz w:val="24"/>
          <w:szCs w:val="24"/>
          <w:highlight w:val="none"/>
        </w:rPr>
        <w:t>日      期：</w:t>
      </w:r>
      <w:r>
        <w:rPr>
          <w:rStyle w:val="34"/>
          <w:rFonts w:hint="eastAsia" w:ascii="宋体" w:hAnsi="宋体" w:eastAsia="宋体" w:cs="Times New Roman"/>
          <w:color w:val="auto"/>
          <w:sz w:val="24"/>
          <w:szCs w:val="24"/>
          <w:highlight w:val="none"/>
          <w:lang w:val="en-US" w:eastAsia="zh-CN"/>
        </w:rPr>
        <w:t xml:space="preserve">   </w:t>
      </w:r>
      <w:r>
        <w:rPr>
          <w:rStyle w:val="34"/>
          <w:rFonts w:hint="eastAsia" w:ascii="宋体" w:hAnsi="宋体" w:eastAsia="宋体" w:cs="Times New Roman"/>
          <w:color w:val="auto"/>
          <w:sz w:val="24"/>
          <w:szCs w:val="24"/>
          <w:highlight w:val="none"/>
        </w:rPr>
        <w:t>年</w:t>
      </w:r>
      <w:r>
        <w:rPr>
          <w:rStyle w:val="34"/>
          <w:rFonts w:hint="eastAsia" w:ascii="宋体" w:hAnsi="宋体" w:eastAsia="宋体" w:cs="Times New Roman"/>
          <w:color w:val="auto"/>
          <w:sz w:val="24"/>
          <w:szCs w:val="24"/>
          <w:highlight w:val="none"/>
          <w:lang w:val="en-US" w:eastAsia="zh-CN"/>
        </w:rPr>
        <w:t xml:space="preserve">    </w:t>
      </w:r>
      <w:r>
        <w:rPr>
          <w:rStyle w:val="34"/>
          <w:rFonts w:hint="eastAsia" w:ascii="宋体" w:hAnsi="宋体" w:eastAsia="宋体" w:cs="Times New Roman"/>
          <w:color w:val="auto"/>
          <w:sz w:val="24"/>
          <w:szCs w:val="24"/>
          <w:highlight w:val="none"/>
        </w:rPr>
        <w:t>月</w:t>
      </w:r>
      <w:r>
        <w:rPr>
          <w:rStyle w:val="34"/>
          <w:rFonts w:hint="eastAsia" w:ascii="宋体" w:hAnsi="宋体" w:eastAsia="宋体" w:cs="Times New Roman"/>
          <w:color w:val="auto"/>
          <w:sz w:val="24"/>
          <w:szCs w:val="24"/>
          <w:highlight w:val="none"/>
          <w:lang w:val="en-US" w:eastAsia="zh-CN"/>
        </w:rPr>
        <w:t xml:space="preserve">     </w:t>
      </w:r>
      <w:r>
        <w:rPr>
          <w:rStyle w:val="34"/>
          <w:rFonts w:hint="eastAsia" w:ascii="宋体" w:hAnsi="宋体" w:eastAsia="宋体" w:cs="Times New Roman"/>
          <w:color w:val="auto"/>
          <w:sz w:val="24"/>
          <w:szCs w:val="24"/>
          <w:highlight w:val="none"/>
          <w:u w:val="none"/>
          <w:lang w:eastAsia="zh-CN"/>
        </w:rPr>
        <w:t>日</w:t>
      </w:r>
    </w:p>
    <w:p w14:paraId="6E479794">
      <w:pPr>
        <w:pStyle w:val="314"/>
        <w:rPr>
          <w:rStyle w:val="34"/>
          <w:rFonts w:hint="eastAsia" w:ascii="宋体" w:hAnsi="宋体" w:eastAsia="宋体" w:cs="宋体"/>
          <w:b/>
          <w:bCs/>
          <w:color w:val="auto"/>
          <w:sz w:val="24"/>
          <w:szCs w:val="22"/>
          <w:highlight w:val="none"/>
        </w:rPr>
      </w:pPr>
    </w:p>
    <w:p w14:paraId="6ECBF302">
      <w:pPr>
        <w:pStyle w:val="314"/>
        <w:jc w:val="left"/>
        <w:rPr>
          <w:rStyle w:val="34"/>
          <w:rFonts w:hint="eastAsia" w:ascii="宋体" w:hAnsi="宋体" w:eastAsia="宋体" w:cs="宋体"/>
          <w:b/>
          <w:bCs/>
          <w:color w:val="auto"/>
          <w:sz w:val="24"/>
          <w:szCs w:val="22"/>
          <w:highlight w:val="none"/>
        </w:rPr>
      </w:pPr>
    </w:p>
    <w:p w14:paraId="7704B9FF">
      <w:pPr>
        <w:pStyle w:val="314"/>
        <w:jc w:val="left"/>
        <w:rPr>
          <w:rStyle w:val="34"/>
          <w:rFonts w:hint="eastAsia" w:ascii="宋体" w:hAnsi="宋体" w:eastAsia="宋体" w:cs="宋体"/>
          <w:b/>
          <w:bCs/>
          <w:color w:val="auto"/>
          <w:sz w:val="24"/>
          <w:szCs w:val="22"/>
          <w:highlight w:val="none"/>
        </w:rPr>
      </w:pPr>
      <w:r>
        <w:rPr>
          <w:rStyle w:val="34"/>
          <w:rFonts w:hint="eastAsia" w:ascii="宋体" w:hAnsi="宋体" w:cs="宋体"/>
          <w:b/>
          <w:bCs/>
          <w:color w:val="auto"/>
          <w:sz w:val="24"/>
          <w:szCs w:val="22"/>
          <w:highlight w:val="none"/>
          <w:lang w:val="en-US" w:eastAsia="zh-CN" w:bidi="ar-SA"/>
        </w:rPr>
        <w:t>2、所有</w:t>
      </w:r>
      <w:r>
        <w:rPr>
          <w:rStyle w:val="34"/>
          <w:rFonts w:hint="eastAsia" w:ascii="宋体" w:hAnsi="宋体" w:eastAsia="宋体" w:cs="宋体"/>
          <w:b/>
          <w:bCs/>
          <w:color w:val="auto"/>
          <w:sz w:val="24"/>
          <w:szCs w:val="22"/>
          <w:highlight w:val="none"/>
          <w:lang w:val="en-US" w:eastAsia="zh-CN" w:bidi="ar-SA"/>
        </w:rPr>
        <w:t>条款要求如有负偏离，请如实填写下表（如有）：</w:t>
      </w:r>
    </w:p>
    <w:tbl>
      <w:tblPr>
        <w:tblStyle w:val="32"/>
        <w:tblpPr w:leftFromText="180" w:rightFromText="180" w:vertAnchor="page" w:horzAnchor="page" w:tblpXSpec="center" w:tblpY="8871"/>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916"/>
        <w:gridCol w:w="2774"/>
        <w:gridCol w:w="2725"/>
        <w:gridCol w:w="1821"/>
        <w:gridCol w:w="1486"/>
      </w:tblGrid>
      <w:tr w14:paraId="6553C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2" w:hRule="atLeast"/>
          <w:jc w:val="center"/>
        </w:trPr>
        <w:tc>
          <w:tcPr>
            <w:tcW w:w="471" w:type="pct"/>
            <w:noWrap w:val="0"/>
            <w:tcMar>
              <w:top w:w="0" w:type="dxa"/>
              <w:left w:w="0" w:type="dxa"/>
              <w:bottom w:w="0" w:type="dxa"/>
              <w:right w:w="0" w:type="dxa"/>
            </w:tcMar>
            <w:vAlign w:val="center"/>
          </w:tcPr>
          <w:p w14:paraId="4BF89085">
            <w:pPr>
              <w:pStyle w:val="280"/>
              <w:jc w:val="center"/>
              <w:rPr>
                <w:rStyle w:val="34"/>
                <w:rFonts w:hint="eastAsia" w:ascii="宋体" w:hAnsi="宋体" w:eastAsia="宋体" w:cs="宋体"/>
                <w:color w:val="auto"/>
                <w:sz w:val="22"/>
                <w:szCs w:val="22"/>
                <w:highlight w:val="none"/>
              </w:rPr>
            </w:pPr>
            <w:r>
              <w:rPr>
                <w:rStyle w:val="34"/>
                <w:rFonts w:hint="eastAsia" w:ascii="宋体" w:hAnsi="宋体" w:eastAsia="宋体" w:cs="宋体"/>
                <w:color w:val="auto"/>
                <w:sz w:val="22"/>
                <w:szCs w:val="22"/>
                <w:highlight w:val="none"/>
              </w:rPr>
              <w:t>序号</w:t>
            </w:r>
          </w:p>
        </w:tc>
        <w:tc>
          <w:tcPr>
            <w:tcW w:w="1426" w:type="pct"/>
            <w:noWrap w:val="0"/>
            <w:tcMar>
              <w:top w:w="0" w:type="dxa"/>
              <w:left w:w="0" w:type="dxa"/>
              <w:bottom w:w="0" w:type="dxa"/>
              <w:right w:w="0" w:type="dxa"/>
            </w:tcMar>
            <w:vAlign w:val="center"/>
          </w:tcPr>
          <w:p w14:paraId="49EDB6D3">
            <w:pPr>
              <w:pStyle w:val="280"/>
              <w:jc w:val="center"/>
              <w:rPr>
                <w:rStyle w:val="34"/>
                <w:rFonts w:hint="eastAsia" w:ascii="宋体" w:hAnsi="宋体" w:eastAsia="宋体" w:cs="宋体"/>
                <w:color w:val="auto"/>
                <w:sz w:val="22"/>
                <w:szCs w:val="22"/>
                <w:highlight w:val="none"/>
              </w:rPr>
            </w:pPr>
            <w:r>
              <w:rPr>
                <w:rStyle w:val="34"/>
                <w:rFonts w:hint="eastAsia" w:ascii="宋体" w:hAnsi="宋体" w:cs="宋体"/>
                <w:color w:val="auto"/>
                <w:sz w:val="22"/>
                <w:szCs w:val="22"/>
                <w:highlight w:val="none"/>
                <w:lang w:eastAsia="zh-CN"/>
              </w:rPr>
              <w:t>技术（服务）</w:t>
            </w:r>
            <w:r>
              <w:rPr>
                <w:rStyle w:val="34"/>
                <w:rFonts w:hint="eastAsia" w:ascii="宋体" w:hAnsi="宋体" w:cs="宋体"/>
                <w:color w:val="auto"/>
                <w:sz w:val="22"/>
                <w:szCs w:val="22"/>
                <w:highlight w:val="none"/>
                <w:lang w:val="en-US" w:eastAsia="zh-CN"/>
              </w:rPr>
              <w:t>/商务</w:t>
            </w:r>
            <w:r>
              <w:rPr>
                <w:rStyle w:val="34"/>
                <w:rFonts w:hint="eastAsia" w:ascii="宋体" w:hAnsi="宋体" w:eastAsia="宋体" w:cs="宋体"/>
                <w:color w:val="auto"/>
                <w:sz w:val="22"/>
                <w:szCs w:val="22"/>
                <w:highlight w:val="none"/>
                <w:lang w:eastAsia="zh-CN"/>
              </w:rPr>
              <w:t>要求内容</w:t>
            </w:r>
          </w:p>
        </w:tc>
        <w:tc>
          <w:tcPr>
            <w:tcW w:w="1401" w:type="pct"/>
            <w:noWrap w:val="0"/>
            <w:tcMar>
              <w:top w:w="0" w:type="dxa"/>
              <w:left w:w="0" w:type="dxa"/>
              <w:bottom w:w="0" w:type="dxa"/>
              <w:right w:w="0" w:type="dxa"/>
            </w:tcMar>
            <w:vAlign w:val="center"/>
          </w:tcPr>
          <w:p w14:paraId="1B5ACFF9">
            <w:pPr>
              <w:pStyle w:val="280"/>
              <w:jc w:val="center"/>
              <w:rPr>
                <w:rStyle w:val="34"/>
                <w:rFonts w:hint="eastAsia" w:ascii="宋体" w:hAnsi="宋体" w:eastAsia="宋体" w:cs="宋体"/>
                <w:color w:val="auto"/>
                <w:sz w:val="22"/>
                <w:szCs w:val="22"/>
                <w:highlight w:val="none"/>
              </w:rPr>
            </w:pPr>
            <w:r>
              <w:rPr>
                <w:rStyle w:val="34"/>
                <w:rFonts w:hint="eastAsia" w:ascii="宋体" w:hAnsi="宋体" w:eastAsia="宋体" w:cs="宋体"/>
                <w:color w:val="auto"/>
                <w:sz w:val="22"/>
                <w:szCs w:val="22"/>
                <w:highlight w:val="none"/>
                <w:lang w:eastAsia="zh-CN"/>
              </w:rPr>
              <w:t>实际响应情况</w:t>
            </w:r>
          </w:p>
        </w:tc>
        <w:tc>
          <w:tcPr>
            <w:tcW w:w="936" w:type="pct"/>
            <w:noWrap w:val="0"/>
            <w:tcMar>
              <w:top w:w="0" w:type="dxa"/>
              <w:left w:w="0" w:type="dxa"/>
              <w:bottom w:w="0" w:type="dxa"/>
              <w:right w:w="0" w:type="dxa"/>
            </w:tcMar>
            <w:vAlign w:val="center"/>
          </w:tcPr>
          <w:p w14:paraId="772889A7">
            <w:pPr>
              <w:pStyle w:val="280"/>
              <w:jc w:val="center"/>
              <w:rPr>
                <w:rStyle w:val="34"/>
                <w:rFonts w:hint="eastAsia" w:ascii="宋体" w:hAnsi="宋体" w:eastAsia="宋体" w:cs="宋体"/>
                <w:color w:val="auto"/>
                <w:sz w:val="22"/>
                <w:szCs w:val="22"/>
                <w:highlight w:val="none"/>
              </w:rPr>
            </w:pPr>
            <w:r>
              <w:rPr>
                <w:rStyle w:val="34"/>
                <w:rFonts w:hint="eastAsia" w:ascii="宋体" w:hAnsi="宋体" w:eastAsia="宋体" w:cs="宋体"/>
                <w:color w:val="auto"/>
                <w:sz w:val="22"/>
                <w:szCs w:val="22"/>
                <w:highlight w:val="none"/>
              </w:rPr>
              <w:t>偏离</w:t>
            </w:r>
            <w:r>
              <w:rPr>
                <w:rStyle w:val="34"/>
                <w:rFonts w:hint="eastAsia" w:ascii="宋体" w:hAnsi="宋体" w:eastAsia="宋体" w:cs="宋体"/>
                <w:color w:val="auto"/>
                <w:sz w:val="22"/>
                <w:szCs w:val="22"/>
                <w:highlight w:val="none"/>
                <w:lang w:eastAsia="zh-CN"/>
              </w:rPr>
              <w:t>内容</w:t>
            </w:r>
          </w:p>
        </w:tc>
        <w:tc>
          <w:tcPr>
            <w:tcW w:w="764" w:type="pct"/>
            <w:noWrap w:val="0"/>
            <w:tcMar>
              <w:top w:w="0" w:type="dxa"/>
              <w:left w:w="0" w:type="dxa"/>
              <w:bottom w:w="0" w:type="dxa"/>
              <w:right w:w="0" w:type="dxa"/>
            </w:tcMar>
            <w:vAlign w:val="center"/>
          </w:tcPr>
          <w:p w14:paraId="6CEDD123">
            <w:pPr>
              <w:pStyle w:val="280"/>
              <w:jc w:val="center"/>
              <w:rPr>
                <w:rStyle w:val="34"/>
                <w:rFonts w:hint="eastAsia" w:ascii="宋体" w:hAnsi="宋体" w:eastAsia="宋体" w:cs="宋体"/>
                <w:color w:val="auto"/>
                <w:sz w:val="22"/>
                <w:szCs w:val="22"/>
                <w:highlight w:val="none"/>
              </w:rPr>
            </w:pPr>
            <w:r>
              <w:rPr>
                <w:rStyle w:val="34"/>
                <w:rFonts w:hint="eastAsia" w:ascii="宋体" w:hAnsi="宋体" w:eastAsia="宋体" w:cs="宋体"/>
                <w:color w:val="auto"/>
                <w:sz w:val="22"/>
                <w:szCs w:val="22"/>
                <w:highlight w:val="none"/>
              </w:rPr>
              <w:t>备注</w:t>
            </w:r>
          </w:p>
        </w:tc>
      </w:tr>
      <w:tr w14:paraId="47C5B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pct"/>
            <w:noWrap w:val="0"/>
            <w:tcMar>
              <w:top w:w="0" w:type="dxa"/>
              <w:left w:w="0" w:type="dxa"/>
              <w:bottom w:w="0" w:type="dxa"/>
              <w:right w:w="0" w:type="dxa"/>
            </w:tcMar>
            <w:vAlign w:val="center"/>
          </w:tcPr>
          <w:p w14:paraId="5BE6E56B">
            <w:pPr>
              <w:pStyle w:val="280"/>
              <w:jc w:val="center"/>
              <w:rPr>
                <w:rStyle w:val="34"/>
                <w:rFonts w:hint="eastAsia" w:ascii="宋体" w:hAnsi="宋体" w:eastAsia="宋体" w:cs="宋体"/>
                <w:color w:val="auto"/>
                <w:sz w:val="22"/>
                <w:szCs w:val="22"/>
                <w:highlight w:val="none"/>
              </w:rPr>
            </w:pPr>
            <w:r>
              <w:rPr>
                <w:rStyle w:val="34"/>
                <w:rFonts w:hint="eastAsia" w:ascii="宋体" w:hAnsi="宋体" w:eastAsia="宋体" w:cs="宋体"/>
                <w:color w:val="auto"/>
                <w:sz w:val="22"/>
                <w:szCs w:val="22"/>
                <w:highlight w:val="none"/>
              </w:rPr>
              <w:t>1</w:t>
            </w:r>
          </w:p>
        </w:tc>
        <w:tc>
          <w:tcPr>
            <w:tcW w:w="1426" w:type="pct"/>
            <w:noWrap w:val="0"/>
            <w:tcMar>
              <w:top w:w="0" w:type="dxa"/>
              <w:left w:w="0" w:type="dxa"/>
              <w:bottom w:w="0" w:type="dxa"/>
              <w:right w:w="0" w:type="dxa"/>
            </w:tcMar>
            <w:vAlign w:val="center"/>
          </w:tcPr>
          <w:p w14:paraId="52EDE0E2">
            <w:pPr>
              <w:pStyle w:val="280"/>
              <w:jc w:val="center"/>
              <w:rPr>
                <w:rStyle w:val="34"/>
                <w:rFonts w:hint="eastAsia" w:ascii="宋体" w:hAnsi="宋体" w:eastAsia="宋体" w:cs="宋体"/>
                <w:color w:val="auto"/>
                <w:sz w:val="22"/>
                <w:szCs w:val="22"/>
                <w:highlight w:val="none"/>
              </w:rPr>
            </w:pPr>
          </w:p>
        </w:tc>
        <w:tc>
          <w:tcPr>
            <w:tcW w:w="1401" w:type="pct"/>
            <w:noWrap w:val="0"/>
            <w:tcMar>
              <w:top w:w="0" w:type="dxa"/>
              <w:left w:w="0" w:type="dxa"/>
              <w:bottom w:w="0" w:type="dxa"/>
              <w:right w:w="0" w:type="dxa"/>
            </w:tcMar>
            <w:vAlign w:val="center"/>
          </w:tcPr>
          <w:p w14:paraId="75FDB230">
            <w:pPr>
              <w:pStyle w:val="280"/>
              <w:jc w:val="center"/>
              <w:rPr>
                <w:rStyle w:val="34"/>
                <w:rFonts w:hint="eastAsia" w:ascii="宋体" w:hAnsi="宋体" w:eastAsia="宋体" w:cs="宋体"/>
                <w:color w:val="auto"/>
                <w:sz w:val="22"/>
                <w:szCs w:val="22"/>
                <w:highlight w:val="none"/>
              </w:rPr>
            </w:pPr>
          </w:p>
        </w:tc>
        <w:tc>
          <w:tcPr>
            <w:tcW w:w="936" w:type="pct"/>
            <w:noWrap w:val="0"/>
            <w:tcMar>
              <w:top w:w="0" w:type="dxa"/>
              <w:left w:w="0" w:type="dxa"/>
              <w:bottom w:w="0" w:type="dxa"/>
              <w:right w:w="0" w:type="dxa"/>
            </w:tcMar>
            <w:vAlign w:val="center"/>
          </w:tcPr>
          <w:p w14:paraId="5DFB28FC">
            <w:pPr>
              <w:pStyle w:val="280"/>
              <w:jc w:val="center"/>
              <w:rPr>
                <w:rStyle w:val="34"/>
                <w:rFonts w:hint="eastAsia" w:ascii="宋体" w:hAnsi="宋体" w:eastAsia="宋体" w:cs="宋体"/>
                <w:color w:val="auto"/>
                <w:sz w:val="22"/>
                <w:szCs w:val="22"/>
                <w:highlight w:val="none"/>
              </w:rPr>
            </w:pPr>
          </w:p>
        </w:tc>
        <w:tc>
          <w:tcPr>
            <w:tcW w:w="764" w:type="pct"/>
            <w:noWrap w:val="0"/>
            <w:tcMar>
              <w:top w:w="0" w:type="dxa"/>
              <w:left w:w="0" w:type="dxa"/>
              <w:bottom w:w="0" w:type="dxa"/>
              <w:right w:w="0" w:type="dxa"/>
            </w:tcMar>
            <w:vAlign w:val="center"/>
          </w:tcPr>
          <w:p w14:paraId="0ABE70C3">
            <w:pPr>
              <w:pStyle w:val="280"/>
              <w:jc w:val="center"/>
              <w:rPr>
                <w:rStyle w:val="34"/>
                <w:rFonts w:hint="eastAsia" w:ascii="宋体" w:hAnsi="宋体" w:eastAsia="宋体" w:cs="宋体"/>
                <w:color w:val="auto"/>
                <w:sz w:val="22"/>
                <w:szCs w:val="22"/>
                <w:highlight w:val="none"/>
              </w:rPr>
            </w:pPr>
          </w:p>
        </w:tc>
      </w:tr>
      <w:tr w14:paraId="541EE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pct"/>
            <w:noWrap w:val="0"/>
            <w:tcMar>
              <w:top w:w="0" w:type="dxa"/>
              <w:left w:w="0" w:type="dxa"/>
              <w:bottom w:w="0" w:type="dxa"/>
              <w:right w:w="0" w:type="dxa"/>
            </w:tcMar>
            <w:vAlign w:val="center"/>
          </w:tcPr>
          <w:p w14:paraId="1BBD0741">
            <w:pPr>
              <w:pStyle w:val="280"/>
              <w:jc w:val="center"/>
              <w:rPr>
                <w:rStyle w:val="34"/>
                <w:rFonts w:hint="eastAsia" w:ascii="宋体" w:hAnsi="宋体" w:eastAsia="宋体" w:cs="宋体"/>
                <w:color w:val="auto"/>
                <w:sz w:val="22"/>
                <w:szCs w:val="22"/>
                <w:highlight w:val="none"/>
              </w:rPr>
            </w:pPr>
            <w:r>
              <w:rPr>
                <w:rStyle w:val="34"/>
                <w:rFonts w:hint="eastAsia" w:ascii="宋体" w:hAnsi="宋体" w:eastAsia="宋体" w:cs="宋体"/>
                <w:color w:val="auto"/>
                <w:sz w:val="22"/>
                <w:szCs w:val="22"/>
                <w:highlight w:val="none"/>
                <w:lang w:val="en-US" w:eastAsia="zh-CN"/>
              </w:rPr>
              <w:t>2</w:t>
            </w:r>
          </w:p>
        </w:tc>
        <w:tc>
          <w:tcPr>
            <w:tcW w:w="1426" w:type="pct"/>
            <w:noWrap w:val="0"/>
            <w:tcMar>
              <w:top w:w="0" w:type="dxa"/>
              <w:left w:w="0" w:type="dxa"/>
              <w:bottom w:w="0" w:type="dxa"/>
              <w:right w:w="0" w:type="dxa"/>
            </w:tcMar>
            <w:vAlign w:val="center"/>
          </w:tcPr>
          <w:p w14:paraId="0CDCA6E0">
            <w:pPr>
              <w:pStyle w:val="280"/>
              <w:jc w:val="center"/>
              <w:rPr>
                <w:rStyle w:val="34"/>
                <w:rFonts w:hint="eastAsia" w:ascii="宋体" w:hAnsi="宋体" w:eastAsia="宋体" w:cs="宋体"/>
                <w:color w:val="auto"/>
                <w:sz w:val="22"/>
                <w:szCs w:val="22"/>
                <w:highlight w:val="none"/>
              </w:rPr>
            </w:pPr>
          </w:p>
        </w:tc>
        <w:tc>
          <w:tcPr>
            <w:tcW w:w="1401" w:type="pct"/>
            <w:noWrap w:val="0"/>
            <w:tcMar>
              <w:top w:w="0" w:type="dxa"/>
              <w:left w:w="0" w:type="dxa"/>
              <w:bottom w:w="0" w:type="dxa"/>
              <w:right w:w="0" w:type="dxa"/>
            </w:tcMar>
            <w:vAlign w:val="center"/>
          </w:tcPr>
          <w:p w14:paraId="6CC30A22">
            <w:pPr>
              <w:pStyle w:val="280"/>
              <w:jc w:val="center"/>
              <w:rPr>
                <w:rStyle w:val="34"/>
                <w:rFonts w:hint="eastAsia" w:ascii="宋体" w:hAnsi="宋体" w:eastAsia="宋体" w:cs="宋体"/>
                <w:color w:val="auto"/>
                <w:sz w:val="22"/>
                <w:szCs w:val="22"/>
                <w:highlight w:val="none"/>
              </w:rPr>
            </w:pPr>
          </w:p>
        </w:tc>
        <w:tc>
          <w:tcPr>
            <w:tcW w:w="936" w:type="pct"/>
            <w:noWrap w:val="0"/>
            <w:tcMar>
              <w:top w:w="0" w:type="dxa"/>
              <w:left w:w="0" w:type="dxa"/>
              <w:bottom w:w="0" w:type="dxa"/>
              <w:right w:w="0" w:type="dxa"/>
            </w:tcMar>
            <w:vAlign w:val="center"/>
          </w:tcPr>
          <w:p w14:paraId="2F796565">
            <w:pPr>
              <w:pStyle w:val="280"/>
              <w:jc w:val="center"/>
              <w:rPr>
                <w:rStyle w:val="34"/>
                <w:rFonts w:hint="eastAsia" w:ascii="宋体" w:hAnsi="宋体" w:eastAsia="宋体" w:cs="宋体"/>
                <w:color w:val="auto"/>
                <w:sz w:val="22"/>
                <w:szCs w:val="22"/>
                <w:highlight w:val="none"/>
              </w:rPr>
            </w:pPr>
          </w:p>
        </w:tc>
        <w:tc>
          <w:tcPr>
            <w:tcW w:w="764" w:type="pct"/>
            <w:noWrap w:val="0"/>
            <w:tcMar>
              <w:top w:w="0" w:type="dxa"/>
              <w:left w:w="0" w:type="dxa"/>
              <w:bottom w:w="0" w:type="dxa"/>
              <w:right w:w="0" w:type="dxa"/>
            </w:tcMar>
            <w:vAlign w:val="center"/>
          </w:tcPr>
          <w:p w14:paraId="77E94617">
            <w:pPr>
              <w:pStyle w:val="280"/>
              <w:jc w:val="center"/>
              <w:rPr>
                <w:rStyle w:val="34"/>
                <w:rFonts w:hint="eastAsia" w:ascii="宋体" w:hAnsi="宋体" w:eastAsia="宋体" w:cs="宋体"/>
                <w:color w:val="auto"/>
                <w:sz w:val="22"/>
                <w:szCs w:val="22"/>
                <w:highlight w:val="none"/>
              </w:rPr>
            </w:pPr>
          </w:p>
        </w:tc>
      </w:tr>
      <w:tr w14:paraId="30F8E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pct"/>
            <w:noWrap w:val="0"/>
            <w:tcMar>
              <w:top w:w="0" w:type="dxa"/>
              <w:left w:w="0" w:type="dxa"/>
              <w:bottom w:w="0" w:type="dxa"/>
              <w:right w:w="0" w:type="dxa"/>
            </w:tcMar>
            <w:vAlign w:val="center"/>
          </w:tcPr>
          <w:p w14:paraId="686F0F31">
            <w:pPr>
              <w:pStyle w:val="280"/>
              <w:jc w:val="center"/>
              <w:rPr>
                <w:rStyle w:val="34"/>
                <w:rFonts w:hint="eastAsia" w:ascii="宋体" w:hAnsi="宋体" w:eastAsia="宋体" w:cs="宋体"/>
                <w:color w:val="auto"/>
                <w:sz w:val="22"/>
                <w:szCs w:val="22"/>
                <w:highlight w:val="none"/>
              </w:rPr>
            </w:pPr>
            <w:r>
              <w:rPr>
                <w:rStyle w:val="34"/>
                <w:rFonts w:hint="eastAsia" w:ascii="宋体" w:hAnsi="宋体" w:eastAsia="宋体" w:cs="宋体"/>
                <w:color w:val="auto"/>
                <w:sz w:val="22"/>
                <w:szCs w:val="22"/>
                <w:highlight w:val="none"/>
                <w:lang w:val="en-US" w:eastAsia="zh-CN"/>
              </w:rPr>
              <w:t>…</w:t>
            </w:r>
          </w:p>
        </w:tc>
        <w:tc>
          <w:tcPr>
            <w:tcW w:w="1426" w:type="pct"/>
            <w:noWrap w:val="0"/>
            <w:tcMar>
              <w:top w:w="0" w:type="dxa"/>
              <w:left w:w="0" w:type="dxa"/>
              <w:bottom w:w="0" w:type="dxa"/>
              <w:right w:w="0" w:type="dxa"/>
            </w:tcMar>
            <w:vAlign w:val="center"/>
          </w:tcPr>
          <w:p w14:paraId="1C1306FF">
            <w:pPr>
              <w:pStyle w:val="280"/>
              <w:jc w:val="center"/>
              <w:rPr>
                <w:rStyle w:val="34"/>
                <w:rFonts w:hint="eastAsia" w:ascii="宋体" w:hAnsi="宋体" w:eastAsia="宋体" w:cs="宋体"/>
                <w:color w:val="auto"/>
                <w:sz w:val="22"/>
                <w:szCs w:val="22"/>
                <w:highlight w:val="none"/>
              </w:rPr>
            </w:pPr>
          </w:p>
        </w:tc>
        <w:tc>
          <w:tcPr>
            <w:tcW w:w="1401" w:type="pct"/>
            <w:noWrap w:val="0"/>
            <w:tcMar>
              <w:top w:w="0" w:type="dxa"/>
              <w:left w:w="0" w:type="dxa"/>
              <w:bottom w:w="0" w:type="dxa"/>
              <w:right w:w="0" w:type="dxa"/>
            </w:tcMar>
            <w:vAlign w:val="center"/>
          </w:tcPr>
          <w:p w14:paraId="4CEC8218">
            <w:pPr>
              <w:pStyle w:val="280"/>
              <w:jc w:val="center"/>
              <w:rPr>
                <w:rStyle w:val="34"/>
                <w:rFonts w:hint="eastAsia" w:ascii="宋体" w:hAnsi="宋体" w:eastAsia="宋体" w:cs="宋体"/>
                <w:color w:val="auto"/>
                <w:sz w:val="22"/>
                <w:szCs w:val="22"/>
                <w:highlight w:val="none"/>
              </w:rPr>
            </w:pPr>
          </w:p>
        </w:tc>
        <w:tc>
          <w:tcPr>
            <w:tcW w:w="936" w:type="pct"/>
            <w:noWrap w:val="0"/>
            <w:tcMar>
              <w:top w:w="0" w:type="dxa"/>
              <w:left w:w="0" w:type="dxa"/>
              <w:bottom w:w="0" w:type="dxa"/>
              <w:right w:w="0" w:type="dxa"/>
            </w:tcMar>
            <w:vAlign w:val="center"/>
          </w:tcPr>
          <w:p w14:paraId="7407AC84">
            <w:pPr>
              <w:pStyle w:val="280"/>
              <w:jc w:val="center"/>
              <w:rPr>
                <w:rStyle w:val="34"/>
                <w:rFonts w:hint="eastAsia" w:ascii="宋体" w:hAnsi="宋体" w:eastAsia="宋体" w:cs="宋体"/>
                <w:color w:val="auto"/>
                <w:sz w:val="22"/>
                <w:szCs w:val="22"/>
                <w:highlight w:val="none"/>
              </w:rPr>
            </w:pPr>
          </w:p>
        </w:tc>
        <w:tc>
          <w:tcPr>
            <w:tcW w:w="764" w:type="pct"/>
            <w:noWrap w:val="0"/>
            <w:tcMar>
              <w:top w:w="0" w:type="dxa"/>
              <w:left w:w="0" w:type="dxa"/>
              <w:bottom w:w="0" w:type="dxa"/>
              <w:right w:w="0" w:type="dxa"/>
            </w:tcMar>
            <w:vAlign w:val="center"/>
          </w:tcPr>
          <w:p w14:paraId="4D60116E">
            <w:pPr>
              <w:pStyle w:val="280"/>
              <w:jc w:val="center"/>
              <w:rPr>
                <w:rStyle w:val="34"/>
                <w:rFonts w:hint="eastAsia" w:ascii="宋体" w:hAnsi="宋体" w:eastAsia="宋体" w:cs="宋体"/>
                <w:color w:val="auto"/>
                <w:sz w:val="22"/>
                <w:szCs w:val="22"/>
                <w:highlight w:val="none"/>
              </w:rPr>
            </w:pPr>
          </w:p>
        </w:tc>
      </w:tr>
    </w:tbl>
    <w:p w14:paraId="60B9BBE6">
      <w:pPr>
        <w:pStyle w:val="314"/>
        <w:spacing w:line="300" w:lineRule="exact"/>
        <w:rPr>
          <w:rStyle w:val="34"/>
          <w:rFonts w:hint="eastAsia" w:ascii="宋体" w:hAnsi="宋体" w:eastAsia="宋体" w:cs="宋体"/>
          <w:color w:val="auto"/>
          <w:highlight w:val="none"/>
        </w:rPr>
      </w:pPr>
    </w:p>
    <w:p w14:paraId="445FE460">
      <w:pPr>
        <w:pStyle w:val="278"/>
        <w:jc w:val="left"/>
        <w:outlineLvl w:val="1"/>
        <w:rPr>
          <w:rStyle w:val="192"/>
          <w:rFonts w:hint="eastAsia" w:ascii="宋体" w:hAnsi="宋体" w:eastAsia="宋体" w:cs="Times New Roman"/>
          <w:color w:val="auto"/>
          <w:sz w:val="22"/>
          <w:szCs w:val="22"/>
          <w:highlight w:val="none"/>
          <w:u w:val="none"/>
        </w:rPr>
      </w:pPr>
      <w:bookmarkStart w:id="631" w:name="_Toc8968"/>
      <w:bookmarkStart w:id="632" w:name="_Toc5973"/>
      <w:bookmarkStart w:id="633" w:name="_Toc31768"/>
      <w:bookmarkStart w:id="634" w:name="_Toc26142"/>
      <w:r>
        <w:rPr>
          <w:rStyle w:val="34"/>
          <w:rFonts w:hint="eastAsia" w:ascii="宋体" w:hAnsi="宋体" w:eastAsia="宋体" w:cs="宋体"/>
          <w:color w:val="auto"/>
          <w:highlight w:val="none"/>
        </w:rPr>
        <w:t>说明：投标人应如实填写，如履约时发现不能按上述内容提供服务，采购人有权取消其中标资格，并报政府采购监督管理处。投标人应负相应法律责任</w:t>
      </w:r>
      <w:r>
        <w:rPr>
          <w:rStyle w:val="34"/>
          <w:rFonts w:hint="eastAsia" w:ascii="宋体" w:hAnsi="宋体" w:eastAsia="宋体" w:cs="宋体"/>
          <w:color w:val="auto"/>
          <w:highlight w:val="none"/>
          <w:lang w:eastAsia="zh-CN"/>
        </w:rPr>
        <w:t>及违约责任</w:t>
      </w:r>
      <w:r>
        <w:rPr>
          <w:rStyle w:val="34"/>
          <w:rFonts w:hint="eastAsia" w:ascii="宋体" w:hAnsi="宋体" w:eastAsia="宋体" w:cs="宋体"/>
          <w:color w:val="auto"/>
          <w:highlight w:val="none"/>
        </w:rPr>
        <w:t>。</w:t>
      </w:r>
      <w:bookmarkEnd w:id="631"/>
      <w:bookmarkEnd w:id="632"/>
      <w:bookmarkEnd w:id="633"/>
      <w:bookmarkEnd w:id="634"/>
    </w:p>
    <w:p w14:paraId="4057487A">
      <w:pPr>
        <w:pStyle w:val="278"/>
        <w:jc w:val="center"/>
        <w:outlineLvl w:val="1"/>
        <w:rPr>
          <w:rStyle w:val="192"/>
          <w:rFonts w:ascii="宋体" w:hAnsi="宋体" w:eastAsia="宋体" w:cs="宋体"/>
          <w:b/>
          <w:bCs/>
          <w:color w:val="auto"/>
          <w:sz w:val="32"/>
          <w:highlight w:val="none"/>
        </w:rPr>
      </w:pPr>
    </w:p>
    <w:p w14:paraId="01474FB5">
      <w:pPr>
        <w:rPr>
          <w:rStyle w:val="192"/>
          <w:rFonts w:ascii="宋体" w:hAnsi="宋体" w:eastAsia="宋体" w:cs="宋体"/>
          <w:b/>
          <w:bCs/>
          <w:color w:val="auto"/>
          <w:sz w:val="32"/>
          <w:highlight w:val="none"/>
        </w:rPr>
      </w:pPr>
      <w:r>
        <w:rPr>
          <w:rStyle w:val="192"/>
          <w:rFonts w:ascii="宋体" w:hAnsi="宋体" w:eastAsia="宋体" w:cs="宋体"/>
          <w:b/>
          <w:bCs/>
          <w:color w:val="auto"/>
          <w:sz w:val="32"/>
          <w:highlight w:val="none"/>
        </w:rPr>
        <w:br w:type="page" w:clear="all"/>
      </w:r>
    </w:p>
    <w:p w14:paraId="4C05F3B7">
      <w:pPr>
        <w:pStyle w:val="278"/>
        <w:jc w:val="center"/>
        <w:outlineLvl w:val="1"/>
        <w:rPr>
          <w:rStyle w:val="192"/>
          <w:rFonts w:ascii="Times New Roman" w:hAnsi="Times New Roman" w:eastAsia="Times New Roman" w:cs="Times New Roman"/>
          <w:color w:val="auto"/>
          <w:highlight w:val="none"/>
        </w:rPr>
      </w:pPr>
      <w:bookmarkStart w:id="635" w:name="_Toc32425"/>
      <w:r>
        <w:rPr>
          <w:rStyle w:val="192"/>
          <w:rFonts w:ascii="宋体" w:hAnsi="宋体" w:eastAsia="宋体" w:cs="宋体"/>
          <w:b/>
          <w:bCs/>
          <w:color w:val="auto"/>
          <w:sz w:val="32"/>
          <w:highlight w:val="none"/>
        </w:rPr>
        <w:t>三、商务部分</w:t>
      </w:r>
      <w:bookmarkEnd w:id="635"/>
    </w:p>
    <w:p w14:paraId="21816ABB">
      <w:pPr>
        <w:pStyle w:val="279"/>
        <w:jc w:val="center"/>
        <w:outlineLvl w:val="2"/>
        <w:rPr>
          <w:rStyle w:val="192"/>
          <w:rFonts w:ascii="Times New Roman" w:hAnsi="Times New Roman" w:eastAsia="Times New Roman" w:cs="Times New Roman"/>
          <w:color w:val="auto"/>
          <w:highlight w:val="none"/>
        </w:rPr>
      </w:pPr>
      <w:bookmarkStart w:id="636" w:name="_Toc12742"/>
      <w:r>
        <w:rPr>
          <w:rStyle w:val="192"/>
          <w:rFonts w:ascii="宋体" w:hAnsi="宋体" w:eastAsia="宋体" w:cs="宋体"/>
          <w:b w:val="0"/>
          <w:color w:val="auto"/>
          <w:sz w:val="28"/>
          <w:highlight w:val="none"/>
        </w:rPr>
        <w:t>(一)供应商能力</w:t>
      </w:r>
      <w:bookmarkEnd w:id="636"/>
    </w:p>
    <w:p w14:paraId="45B7E9F7">
      <w:pPr>
        <w:pStyle w:val="288"/>
        <w:jc w:val="center"/>
        <w:outlineLvl w:val="2"/>
        <w:rPr>
          <w:rStyle w:val="192"/>
          <w:rFonts w:hint="eastAsia" w:ascii="Times New Roman" w:hAnsi="Times New Roman" w:eastAsia="宋体" w:cs="Times New Roman"/>
          <w:color w:val="auto"/>
          <w:highlight w:val="none"/>
        </w:rPr>
      </w:pPr>
      <w:bookmarkStart w:id="637" w:name="_Toc1377"/>
      <w:bookmarkStart w:id="638" w:name="_Toc7308"/>
      <w:r>
        <w:rPr>
          <w:rStyle w:val="192"/>
          <w:rFonts w:hint="eastAsia" w:eastAsia="宋体" w:cs="Times New Roman"/>
          <w:color w:val="auto"/>
          <w:highlight w:val="none"/>
          <w:lang w:eastAsia="zh-CN"/>
        </w:rPr>
        <w:t>根据采购文件采购需求及评分办法等提供企业的获奖荣誉、企业证书等</w:t>
      </w:r>
      <w:r>
        <w:rPr>
          <w:rStyle w:val="192"/>
          <w:rFonts w:ascii="Times New Roman" w:hAnsi="Times New Roman" w:eastAsia="Times New Roman" w:cs="Times New Roman"/>
          <w:color w:val="auto"/>
          <w:highlight w:val="none"/>
        </w:rPr>
        <w:br w:type="page" w:clear="all"/>
      </w:r>
      <w:r>
        <w:rPr>
          <w:rStyle w:val="192"/>
          <w:rFonts w:ascii="宋体" w:hAnsi="宋体" w:eastAsia="宋体" w:cs="宋体"/>
          <w:b/>
          <w:bCs/>
          <w:color w:val="auto"/>
          <w:sz w:val="28"/>
          <w:szCs w:val="24"/>
          <w:highlight w:val="none"/>
        </w:rPr>
        <w:t>(二)</w:t>
      </w:r>
      <w:r>
        <w:rPr>
          <w:rStyle w:val="192"/>
          <w:rFonts w:hint="eastAsia" w:ascii="宋体" w:hAnsi="宋体" w:eastAsia="宋体" w:cs="宋体"/>
          <w:b/>
          <w:bCs/>
          <w:color w:val="auto"/>
          <w:sz w:val="28"/>
          <w:szCs w:val="24"/>
          <w:highlight w:val="none"/>
          <w:lang w:eastAsia="zh-CN"/>
        </w:rPr>
        <w:t>类似业绩</w:t>
      </w:r>
      <w:bookmarkEnd w:id="637"/>
      <w:bookmarkEnd w:id="638"/>
    </w:p>
    <w:tbl>
      <w:tblPr>
        <w:tblStyle w:val="32"/>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1"/>
        <w:gridCol w:w="2061"/>
        <w:gridCol w:w="1605"/>
        <w:gridCol w:w="2158"/>
        <w:gridCol w:w="1276"/>
        <w:gridCol w:w="1311"/>
      </w:tblGrid>
      <w:tr w14:paraId="5A607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011" w:type="dxa"/>
            <w:noWrap w:val="0"/>
            <w:vAlign w:val="center"/>
          </w:tcPr>
          <w:p w14:paraId="17AF5D39">
            <w:pPr>
              <w:pStyle w:val="20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2061" w:type="dxa"/>
            <w:noWrap w:val="0"/>
            <w:vAlign w:val="center"/>
          </w:tcPr>
          <w:p w14:paraId="0C500C0C">
            <w:pPr>
              <w:pStyle w:val="20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tc>
        <w:tc>
          <w:tcPr>
            <w:tcW w:w="1605" w:type="dxa"/>
            <w:noWrap w:val="0"/>
            <w:vAlign w:val="center"/>
          </w:tcPr>
          <w:p w14:paraId="7DC80915">
            <w:pPr>
              <w:pStyle w:val="20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项目金额</w:t>
            </w:r>
          </w:p>
        </w:tc>
        <w:tc>
          <w:tcPr>
            <w:tcW w:w="2158" w:type="dxa"/>
            <w:noWrap w:val="0"/>
            <w:vAlign w:val="center"/>
          </w:tcPr>
          <w:p w14:paraId="394AD94B">
            <w:pPr>
              <w:pStyle w:val="20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业主单位</w:t>
            </w:r>
          </w:p>
        </w:tc>
        <w:tc>
          <w:tcPr>
            <w:tcW w:w="1276" w:type="dxa"/>
            <w:noWrap w:val="0"/>
            <w:vAlign w:val="center"/>
          </w:tcPr>
          <w:p w14:paraId="07B396FD">
            <w:pPr>
              <w:pStyle w:val="20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合同时间</w:t>
            </w:r>
          </w:p>
        </w:tc>
        <w:tc>
          <w:tcPr>
            <w:tcW w:w="1311" w:type="dxa"/>
            <w:noWrap w:val="0"/>
            <w:vAlign w:val="center"/>
          </w:tcPr>
          <w:p w14:paraId="040EB9CA">
            <w:pPr>
              <w:pStyle w:val="20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合同内容、性质</w:t>
            </w:r>
          </w:p>
        </w:tc>
      </w:tr>
      <w:tr w14:paraId="736FD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1011" w:type="dxa"/>
            <w:noWrap w:val="0"/>
            <w:vAlign w:val="center"/>
          </w:tcPr>
          <w:p w14:paraId="615AB3A0">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061" w:type="dxa"/>
            <w:noWrap w:val="0"/>
            <w:vAlign w:val="center"/>
          </w:tcPr>
          <w:p w14:paraId="7D64B377">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605" w:type="dxa"/>
            <w:noWrap w:val="0"/>
            <w:vAlign w:val="top"/>
          </w:tcPr>
          <w:p w14:paraId="49B8555B">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2158" w:type="dxa"/>
            <w:noWrap w:val="0"/>
            <w:vAlign w:val="center"/>
          </w:tcPr>
          <w:p w14:paraId="66868E46">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276" w:type="dxa"/>
            <w:noWrap w:val="0"/>
            <w:vAlign w:val="center"/>
          </w:tcPr>
          <w:p w14:paraId="2A194BE1">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311" w:type="dxa"/>
            <w:noWrap w:val="0"/>
            <w:vAlign w:val="center"/>
          </w:tcPr>
          <w:p w14:paraId="588ED531">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r>
      <w:tr w14:paraId="3BA82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1011" w:type="dxa"/>
            <w:noWrap w:val="0"/>
            <w:vAlign w:val="center"/>
          </w:tcPr>
          <w:p w14:paraId="5678CF0B">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061" w:type="dxa"/>
            <w:noWrap w:val="0"/>
            <w:vAlign w:val="center"/>
          </w:tcPr>
          <w:p w14:paraId="06A4181B">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605" w:type="dxa"/>
            <w:noWrap w:val="0"/>
            <w:vAlign w:val="top"/>
          </w:tcPr>
          <w:p w14:paraId="3A88C070">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2158" w:type="dxa"/>
            <w:noWrap w:val="0"/>
            <w:vAlign w:val="center"/>
          </w:tcPr>
          <w:p w14:paraId="2AECC1F5">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276" w:type="dxa"/>
            <w:noWrap w:val="0"/>
            <w:vAlign w:val="center"/>
          </w:tcPr>
          <w:p w14:paraId="0F67ECD3">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311" w:type="dxa"/>
            <w:noWrap w:val="0"/>
            <w:vAlign w:val="center"/>
          </w:tcPr>
          <w:p w14:paraId="33D5891F">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r>
      <w:tr w14:paraId="3C3B2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1011" w:type="dxa"/>
            <w:noWrap w:val="0"/>
            <w:vAlign w:val="center"/>
          </w:tcPr>
          <w:p w14:paraId="19C3A827">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061" w:type="dxa"/>
            <w:noWrap w:val="0"/>
            <w:vAlign w:val="center"/>
          </w:tcPr>
          <w:p w14:paraId="0475E3A2">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605" w:type="dxa"/>
            <w:noWrap w:val="0"/>
            <w:vAlign w:val="top"/>
          </w:tcPr>
          <w:p w14:paraId="24B035A8">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2158" w:type="dxa"/>
            <w:noWrap w:val="0"/>
            <w:vAlign w:val="center"/>
          </w:tcPr>
          <w:p w14:paraId="45189921">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276" w:type="dxa"/>
            <w:noWrap w:val="0"/>
            <w:vAlign w:val="center"/>
          </w:tcPr>
          <w:p w14:paraId="71F09D87">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311" w:type="dxa"/>
            <w:noWrap w:val="0"/>
            <w:vAlign w:val="center"/>
          </w:tcPr>
          <w:p w14:paraId="57530C20">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r>
      <w:tr w14:paraId="7ED1C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011" w:type="dxa"/>
            <w:noWrap w:val="0"/>
            <w:vAlign w:val="center"/>
          </w:tcPr>
          <w:p w14:paraId="5860ACE5">
            <w:pPr>
              <w:pStyle w:val="205"/>
              <w:keepNext w:val="0"/>
              <w:keepLines w:val="0"/>
              <w:pageBreakBefore w:val="0"/>
              <w:widowControl w:val="0"/>
              <w:spacing w:line="240"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w:t>
            </w:r>
          </w:p>
        </w:tc>
        <w:tc>
          <w:tcPr>
            <w:tcW w:w="2061" w:type="dxa"/>
            <w:noWrap w:val="0"/>
            <w:vAlign w:val="center"/>
          </w:tcPr>
          <w:p w14:paraId="27B31322">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605" w:type="dxa"/>
            <w:noWrap w:val="0"/>
            <w:vAlign w:val="top"/>
          </w:tcPr>
          <w:p w14:paraId="1576EC4E">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2158" w:type="dxa"/>
            <w:noWrap w:val="0"/>
            <w:vAlign w:val="center"/>
          </w:tcPr>
          <w:p w14:paraId="21AFA112">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276" w:type="dxa"/>
            <w:noWrap w:val="0"/>
            <w:vAlign w:val="center"/>
          </w:tcPr>
          <w:p w14:paraId="7DA3AF2D">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311" w:type="dxa"/>
            <w:noWrap w:val="0"/>
            <w:vAlign w:val="center"/>
          </w:tcPr>
          <w:p w14:paraId="26B68A6C">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r>
      <w:tr w14:paraId="64185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011" w:type="dxa"/>
            <w:noWrap w:val="0"/>
            <w:vAlign w:val="center"/>
          </w:tcPr>
          <w:p w14:paraId="5C609322">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2061" w:type="dxa"/>
            <w:noWrap w:val="0"/>
            <w:vAlign w:val="center"/>
          </w:tcPr>
          <w:p w14:paraId="73F0C39F">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605" w:type="dxa"/>
            <w:noWrap w:val="0"/>
            <w:vAlign w:val="top"/>
          </w:tcPr>
          <w:p w14:paraId="51744B89">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2158" w:type="dxa"/>
            <w:noWrap w:val="0"/>
            <w:vAlign w:val="center"/>
          </w:tcPr>
          <w:p w14:paraId="5354A8F4">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276" w:type="dxa"/>
            <w:noWrap w:val="0"/>
            <w:vAlign w:val="center"/>
          </w:tcPr>
          <w:p w14:paraId="1F020208">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311" w:type="dxa"/>
            <w:noWrap w:val="0"/>
            <w:vAlign w:val="center"/>
          </w:tcPr>
          <w:p w14:paraId="16E336AC">
            <w:pPr>
              <w:pStyle w:val="20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r>
    </w:tbl>
    <w:p w14:paraId="375BE956">
      <w:pPr>
        <w:spacing w:line="360" w:lineRule="auto"/>
        <w:rPr>
          <w:rFonts w:ascii="宋体" w:hAnsi="宋体"/>
          <w:color w:val="auto"/>
          <w:sz w:val="24"/>
          <w:highlight w:val="none"/>
        </w:rPr>
      </w:pPr>
      <w:r>
        <w:rPr>
          <w:rFonts w:hint="eastAsia" w:ascii="宋体" w:hAnsi="宋体"/>
          <w:color w:val="auto"/>
          <w:sz w:val="24"/>
          <w:highlight w:val="none"/>
        </w:rPr>
        <w:t>备注：</w:t>
      </w:r>
    </w:p>
    <w:p w14:paraId="40B2FDFF">
      <w:pPr>
        <w:spacing w:line="480" w:lineRule="exact"/>
        <w:rPr>
          <w:rFonts w:hint="eastAsia" w:ascii="宋体" w:hAnsi="宋体"/>
          <w:color w:val="auto"/>
          <w:highlight w:val="none"/>
        </w:rPr>
      </w:pPr>
      <w:r>
        <w:rPr>
          <w:rFonts w:hint="eastAsia" w:ascii="宋体" w:hAnsi="宋体"/>
          <w:color w:val="auto"/>
          <w:highlight w:val="none"/>
        </w:rPr>
        <w:t>1、</w:t>
      </w:r>
      <w:r>
        <w:rPr>
          <w:rFonts w:hint="eastAsia" w:ascii="宋体" w:hAnsi="宋体"/>
          <w:color w:val="auto"/>
          <w:highlight w:val="none"/>
          <w:lang w:eastAsia="zh-CN"/>
        </w:rPr>
        <w:t>按照采购文件要求提供证明材料附后</w:t>
      </w:r>
      <w:r>
        <w:rPr>
          <w:rFonts w:hint="eastAsia" w:ascii="宋体" w:hAnsi="宋体"/>
          <w:color w:val="auto"/>
          <w:highlight w:val="none"/>
        </w:rPr>
        <w:t>。</w:t>
      </w:r>
    </w:p>
    <w:p w14:paraId="7462D5BD">
      <w:pPr>
        <w:spacing w:line="480" w:lineRule="exact"/>
        <w:rPr>
          <w:rFonts w:hint="eastAsia" w:ascii="宋体" w:hAnsi="宋体"/>
          <w:color w:val="auto"/>
          <w:highlight w:val="none"/>
        </w:rPr>
      </w:pPr>
      <w:r>
        <w:rPr>
          <w:rFonts w:hint="eastAsia" w:ascii="宋体" w:hAnsi="宋体"/>
          <w:color w:val="auto"/>
          <w:highlight w:val="none"/>
          <w:lang w:val="en-US" w:eastAsia="zh-CN"/>
        </w:rPr>
        <w:t>2</w:t>
      </w:r>
      <w:r>
        <w:rPr>
          <w:rFonts w:hint="eastAsia" w:ascii="宋体" w:hAnsi="宋体"/>
          <w:color w:val="auto"/>
          <w:highlight w:val="none"/>
        </w:rPr>
        <w:t>、行数不够，请自行添加。</w:t>
      </w:r>
    </w:p>
    <w:p w14:paraId="0C9BFAE5">
      <w:pPr>
        <w:keepNext w:val="0"/>
        <w:keepLines w:val="0"/>
        <w:pageBreakBefore w:val="0"/>
        <w:widowControl w:val="0"/>
        <w:spacing w:line="360" w:lineRule="auto"/>
        <w:jc w:val="right"/>
        <w:rPr>
          <w:rStyle w:val="192"/>
          <w:rFonts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rPr>
        <w:t>投标人名称（公章）：</w:t>
      </w:r>
    </w:p>
    <w:p w14:paraId="400C9B50">
      <w:pPr>
        <w:keepNext w:val="0"/>
        <w:keepLines w:val="0"/>
        <w:pageBreakBefore w:val="0"/>
        <w:widowControl w:val="0"/>
        <w:spacing w:line="360" w:lineRule="auto"/>
        <w:jc w:val="right"/>
        <w:rPr>
          <w:rStyle w:val="192"/>
          <w:rFonts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rPr>
        <w:t>法定代表人或代理人（</w:t>
      </w:r>
      <w:r>
        <w:rPr>
          <w:rStyle w:val="192"/>
          <w:rFonts w:hint="eastAsia" w:ascii="宋体" w:hAnsi="宋体" w:eastAsia="宋体" w:cs="宋体"/>
          <w:color w:val="auto"/>
          <w:sz w:val="24"/>
          <w:szCs w:val="24"/>
          <w:highlight w:val="none"/>
          <w:lang w:eastAsia="zh-CN"/>
        </w:rPr>
        <w:t>签章</w:t>
      </w:r>
      <w:r>
        <w:rPr>
          <w:rStyle w:val="192"/>
          <w:rFonts w:hint="eastAsia" w:ascii="宋体" w:hAnsi="宋体" w:eastAsia="宋体" w:cs="宋体"/>
          <w:color w:val="auto"/>
          <w:sz w:val="24"/>
          <w:szCs w:val="24"/>
          <w:highlight w:val="none"/>
        </w:rPr>
        <w:t>）：</w:t>
      </w:r>
    </w:p>
    <w:p w14:paraId="1602F020">
      <w:pPr>
        <w:keepNext w:val="0"/>
        <w:keepLines w:val="0"/>
        <w:pageBreakBefore w:val="0"/>
        <w:widowControl w:val="0"/>
        <w:spacing w:line="360" w:lineRule="auto"/>
        <w:jc w:val="right"/>
        <w:rPr>
          <w:rStyle w:val="192"/>
          <w:rFonts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rPr>
        <w:t>日期：</w:t>
      </w:r>
      <w:r>
        <w:rPr>
          <w:rStyle w:val="192"/>
          <w:rFonts w:hint="eastAsia" w:ascii="宋体" w:hAnsi="宋体" w:cs="宋体"/>
          <w:color w:val="auto"/>
          <w:sz w:val="24"/>
          <w:szCs w:val="24"/>
          <w:highlight w:val="none"/>
          <w:lang w:eastAsia="zh-CN"/>
        </w:rPr>
        <w:t>2026</w:t>
      </w:r>
      <w:r>
        <w:rPr>
          <w:rStyle w:val="192"/>
          <w:rFonts w:hint="eastAsia" w:ascii="宋体" w:hAnsi="宋体" w:eastAsia="宋体" w:cs="宋体"/>
          <w:color w:val="auto"/>
          <w:sz w:val="24"/>
          <w:szCs w:val="24"/>
          <w:highlight w:val="none"/>
        </w:rPr>
        <w:t>年</w:t>
      </w:r>
      <w:r>
        <w:rPr>
          <w:rStyle w:val="192"/>
          <w:rFonts w:hint="eastAsia" w:ascii="宋体" w:hAnsi="宋体" w:eastAsia="宋体" w:cs="宋体"/>
          <w:color w:val="auto"/>
          <w:sz w:val="24"/>
          <w:szCs w:val="24"/>
          <w:highlight w:val="none"/>
          <w:lang w:val="en-US" w:eastAsia="zh-CN"/>
        </w:rPr>
        <w:t xml:space="preserve">  </w:t>
      </w:r>
      <w:r>
        <w:rPr>
          <w:rStyle w:val="192"/>
          <w:rFonts w:hint="eastAsia" w:ascii="宋体" w:hAnsi="宋体" w:eastAsia="宋体" w:cs="宋体"/>
          <w:color w:val="auto"/>
          <w:sz w:val="24"/>
          <w:szCs w:val="24"/>
          <w:highlight w:val="none"/>
        </w:rPr>
        <w:t xml:space="preserve"> 月 </w:t>
      </w:r>
      <w:r>
        <w:rPr>
          <w:rStyle w:val="192"/>
          <w:rFonts w:hint="eastAsia" w:ascii="宋体" w:hAnsi="宋体" w:eastAsia="宋体" w:cs="宋体"/>
          <w:color w:val="auto"/>
          <w:sz w:val="24"/>
          <w:szCs w:val="24"/>
          <w:highlight w:val="none"/>
          <w:lang w:val="en-US" w:eastAsia="zh-CN"/>
        </w:rPr>
        <w:t xml:space="preserve">  </w:t>
      </w:r>
      <w:r>
        <w:rPr>
          <w:rStyle w:val="192"/>
          <w:rFonts w:hint="eastAsia" w:ascii="宋体" w:hAnsi="宋体" w:eastAsia="宋体" w:cs="宋体"/>
          <w:color w:val="auto"/>
          <w:sz w:val="24"/>
          <w:szCs w:val="24"/>
          <w:highlight w:val="none"/>
        </w:rPr>
        <w:t>日</w:t>
      </w:r>
    </w:p>
    <w:p w14:paraId="29973966">
      <w:pPr>
        <w:pStyle w:val="298"/>
        <w:jc w:val="center"/>
        <w:outlineLvl w:val="2"/>
        <w:rPr>
          <w:rStyle w:val="192"/>
          <w:rFonts w:ascii="宋体" w:hAnsi="宋体" w:eastAsia="宋体" w:cs="宋体"/>
          <w:b/>
          <w:bCs/>
          <w:color w:val="auto"/>
          <w:sz w:val="28"/>
          <w:highlight w:val="none"/>
        </w:rPr>
      </w:pPr>
      <w:r>
        <w:rPr>
          <w:rStyle w:val="192"/>
          <w:rFonts w:ascii="Times New Roman" w:hAnsi="Times New Roman" w:eastAsia="Times New Roman" w:cs="Times New Roman"/>
          <w:color w:val="auto"/>
          <w:highlight w:val="none"/>
        </w:rPr>
        <w:br w:type="page" w:clear="all"/>
      </w:r>
      <w:bookmarkStart w:id="639" w:name="_Toc21283"/>
      <w:bookmarkStart w:id="640" w:name="_Toc23081"/>
      <w:r>
        <w:rPr>
          <w:rStyle w:val="192"/>
          <w:rFonts w:ascii="宋体" w:hAnsi="宋体" w:eastAsia="宋体" w:cs="宋体"/>
          <w:b/>
          <w:bCs/>
          <w:color w:val="auto"/>
          <w:sz w:val="28"/>
          <w:highlight w:val="none"/>
        </w:rPr>
        <w:t>(三)</w:t>
      </w:r>
      <w:bookmarkEnd w:id="639"/>
      <w:r>
        <w:rPr>
          <w:rStyle w:val="192"/>
          <w:rFonts w:ascii="宋体" w:hAnsi="宋体" w:eastAsia="宋体" w:cs="宋体"/>
          <w:b/>
          <w:bCs/>
          <w:color w:val="auto"/>
          <w:sz w:val="28"/>
          <w:highlight w:val="none"/>
        </w:rPr>
        <w:t>项目实施成员能力</w:t>
      </w:r>
      <w:bookmarkEnd w:id="640"/>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1"/>
        <w:gridCol w:w="931"/>
        <w:gridCol w:w="1577"/>
        <w:gridCol w:w="1442"/>
        <w:gridCol w:w="1967"/>
        <w:gridCol w:w="1967"/>
        <w:gridCol w:w="930"/>
      </w:tblGrid>
      <w:tr w14:paraId="05FD0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781" w:type="dxa"/>
            <w:noWrap w:val="0"/>
            <w:vAlign w:val="center"/>
          </w:tcPr>
          <w:p w14:paraId="46ADF65A">
            <w:pPr>
              <w:pStyle w:val="302"/>
              <w:keepNext w:val="0"/>
              <w:keepLines w:val="0"/>
              <w:pageBreakBefore w:val="0"/>
              <w:widowControl w:val="0"/>
              <w:ind w:left="0"/>
              <w:jc w:val="center"/>
              <w:rPr>
                <w:b/>
                <w:color w:val="auto"/>
                <w:sz w:val="24"/>
                <w:highlight w:val="none"/>
              </w:rPr>
            </w:pPr>
            <w:r>
              <w:rPr>
                <w:b/>
                <w:color w:val="auto"/>
                <w:sz w:val="24"/>
                <w:highlight w:val="none"/>
              </w:rPr>
              <w:t>序号</w:t>
            </w:r>
          </w:p>
        </w:tc>
        <w:tc>
          <w:tcPr>
            <w:tcW w:w="931" w:type="dxa"/>
            <w:noWrap w:val="0"/>
            <w:vAlign w:val="center"/>
          </w:tcPr>
          <w:p w14:paraId="4DBCED54">
            <w:pPr>
              <w:pStyle w:val="302"/>
              <w:keepNext w:val="0"/>
              <w:keepLines w:val="0"/>
              <w:pageBreakBefore w:val="0"/>
              <w:widowControl w:val="0"/>
              <w:ind w:left="0"/>
              <w:jc w:val="center"/>
              <w:rPr>
                <w:b/>
                <w:color w:val="auto"/>
                <w:sz w:val="24"/>
                <w:highlight w:val="none"/>
              </w:rPr>
            </w:pPr>
            <w:r>
              <w:rPr>
                <w:b/>
                <w:color w:val="auto"/>
                <w:sz w:val="24"/>
                <w:highlight w:val="none"/>
              </w:rPr>
              <w:t>姓名</w:t>
            </w:r>
          </w:p>
        </w:tc>
        <w:tc>
          <w:tcPr>
            <w:tcW w:w="1577" w:type="dxa"/>
            <w:noWrap w:val="0"/>
            <w:vAlign w:val="center"/>
          </w:tcPr>
          <w:p w14:paraId="2E4F0DEA">
            <w:pPr>
              <w:pStyle w:val="302"/>
              <w:keepNext w:val="0"/>
              <w:keepLines w:val="0"/>
              <w:pageBreakBefore w:val="0"/>
              <w:widowControl w:val="0"/>
              <w:ind w:left="0"/>
              <w:jc w:val="center"/>
              <w:rPr>
                <w:b/>
                <w:color w:val="auto"/>
                <w:sz w:val="24"/>
                <w:highlight w:val="none"/>
              </w:rPr>
            </w:pPr>
            <w:r>
              <w:rPr>
                <w:b/>
                <w:color w:val="auto"/>
                <w:sz w:val="24"/>
                <w:highlight w:val="none"/>
              </w:rPr>
              <w:t>身份证号</w:t>
            </w:r>
          </w:p>
        </w:tc>
        <w:tc>
          <w:tcPr>
            <w:tcW w:w="1442" w:type="dxa"/>
            <w:noWrap w:val="0"/>
            <w:vAlign w:val="center"/>
          </w:tcPr>
          <w:p w14:paraId="6AB35830">
            <w:pPr>
              <w:pStyle w:val="302"/>
              <w:keepNext w:val="0"/>
              <w:keepLines w:val="0"/>
              <w:pageBreakBefore w:val="0"/>
              <w:widowControl w:val="0"/>
              <w:ind w:left="0"/>
              <w:jc w:val="center"/>
              <w:rPr>
                <w:b/>
                <w:color w:val="auto"/>
                <w:sz w:val="24"/>
                <w:highlight w:val="none"/>
              </w:rPr>
            </w:pPr>
            <w:r>
              <w:rPr>
                <w:b/>
                <w:color w:val="auto"/>
                <w:sz w:val="24"/>
                <w:highlight w:val="none"/>
              </w:rPr>
              <w:t>人员类别</w:t>
            </w:r>
          </w:p>
        </w:tc>
        <w:tc>
          <w:tcPr>
            <w:tcW w:w="1967" w:type="dxa"/>
            <w:noWrap w:val="0"/>
            <w:vAlign w:val="center"/>
          </w:tcPr>
          <w:p w14:paraId="4C8993D7">
            <w:pPr>
              <w:pStyle w:val="302"/>
              <w:keepNext w:val="0"/>
              <w:keepLines w:val="0"/>
              <w:pageBreakBefore w:val="0"/>
              <w:widowControl w:val="0"/>
              <w:ind w:left="0"/>
              <w:jc w:val="center"/>
              <w:rPr>
                <w:b/>
                <w:color w:val="auto"/>
                <w:sz w:val="24"/>
                <w:highlight w:val="none"/>
              </w:rPr>
            </w:pPr>
            <w:r>
              <w:rPr>
                <w:b/>
                <w:color w:val="auto"/>
                <w:sz w:val="24"/>
                <w:highlight w:val="none"/>
              </w:rPr>
              <w:t>技术证书、级别</w:t>
            </w:r>
          </w:p>
        </w:tc>
        <w:tc>
          <w:tcPr>
            <w:tcW w:w="1967" w:type="dxa"/>
            <w:noWrap w:val="0"/>
            <w:vAlign w:val="center"/>
          </w:tcPr>
          <w:p w14:paraId="41FE5F35">
            <w:pPr>
              <w:pStyle w:val="302"/>
              <w:keepNext w:val="0"/>
              <w:keepLines w:val="0"/>
              <w:pageBreakBefore w:val="0"/>
              <w:widowControl w:val="0"/>
              <w:ind w:left="0"/>
              <w:jc w:val="center"/>
              <w:rPr>
                <w:b/>
                <w:color w:val="auto"/>
                <w:sz w:val="24"/>
                <w:highlight w:val="none"/>
              </w:rPr>
            </w:pPr>
            <w:r>
              <w:rPr>
                <w:b/>
                <w:color w:val="auto"/>
                <w:sz w:val="24"/>
                <w:highlight w:val="none"/>
              </w:rPr>
              <w:t>相关工作经验</w:t>
            </w:r>
          </w:p>
        </w:tc>
        <w:tc>
          <w:tcPr>
            <w:tcW w:w="930" w:type="dxa"/>
            <w:noWrap w:val="0"/>
            <w:vAlign w:val="center"/>
          </w:tcPr>
          <w:p w14:paraId="6D6B3FBE">
            <w:pPr>
              <w:pStyle w:val="302"/>
              <w:keepNext w:val="0"/>
              <w:keepLines w:val="0"/>
              <w:pageBreakBefore w:val="0"/>
              <w:widowControl w:val="0"/>
              <w:ind w:left="0"/>
              <w:jc w:val="center"/>
              <w:rPr>
                <w:b/>
                <w:color w:val="auto"/>
                <w:sz w:val="24"/>
                <w:highlight w:val="none"/>
              </w:rPr>
            </w:pPr>
            <w:r>
              <w:rPr>
                <w:b/>
                <w:color w:val="auto"/>
                <w:sz w:val="24"/>
                <w:highlight w:val="none"/>
              </w:rPr>
              <w:t>备注</w:t>
            </w:r>
          </w:p>
        </w:tc>
      </w:tr>
      <w:tr w14:paraId="45303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81" w:type="dxa"/>
            <w:noWrap w:val="0"/>
            <w:vAlign w:val="center"/>
          </w:tcPr>
          <w:p w14:paraId="1A0F329D">
            <w:pPr>
              <w:pStyle w:val="30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3370FC91">
            <w:pPr>
              <w:pStyle w:val="30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2C8A3B64">
            <w:pPr>
              <w:pStyle w:val="30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6EDB65B1">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0C5BFE88">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34CD0022">
            <w:pPr>
              <w:pStyle w:val="302"/>
              <w:keepNext w:val="0"/>
              <w:keepLines w:val="0"/>
              <w:pageBreakBefore w:val="0"/>
              <w:widowControl w:val="0"/>
              <w:ind w:left="0"/>
              <w:jc w:val="center"/>
              <w:rPr>
                <w:rFonts w:ascii="Times New Roman"/>
                <w:color w:val="auto"/>
                <w:sz w:val="24"/>
                <w:highlight w:val="none"/>
              </w:rPr>
            </w:pPr>
          </w:p>
        </w:tc>
        <w:tc>
          <w:tcPr>
            <w:tcW w:w="930" w:type="dxa"/>
            <w:noWrap w:val="0"/>
            <w:vAlign w:val="center"/>
          </w:tcPr>
          <w:p w14:paraId="0892B00E">
            <w:pPr>
              <w:pStyle w:val="302"/>
              <w:keepNext w:val="0"/>
              <w:keepLines w:val="0"/>
              <w:pageBreakBefore w:val="0"/>
              <w:widowControl w:val="0"/>
              <w:ind w:left="0"/>
              <w:jc w:val="center"/>
              <w:rPr>
                <w:rFonts w:ascii="Times New Roman"/>
                <w:color w:val="auto"/>
                <w:sz w:val="24"/>
                <w:highlight w:val="none"/>
              </w:rPr>
            </w:pPr>
          </w:p>
        </w:tc>
      </w:tr>
      <w:tr w14:paraId="5D17F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81" w:type="dxa"/>
            <w:noWrap w:val="0"/>
            <w:vAlign w:val="center"/>
          </w:tcPr>
          <w:p w14:paraId="103934AA">
            <w:pPr>
              <w:pStyle w:val="30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23BBD26E">
            <w:pPr>
              <w:pStyle w:val="30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03883103">
            <w:pPr>
              <w:pStyle w:val="30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6760DC35">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71942ECB">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5DF27707">
            <w:pPr>
              <w:pStyle w:val="302"/>
              <w:keepNext w:val="0"/>
              <w:keepLines w:val="0"/>
              <w:pageBreakBefore w:val="0"/>
              <w:widowControl w:val="0"/>
              <w:ind w:left="0"/>
              <w:jc w:val="center"/>
              <w:rPr>
                <w:rFonts w:ascii="Times New Roman"/>
                <w:color w:val="auto"/>
                <w:sz w:val="24"/>
                <w:highlight w:val="none"/>
              </w:rPr>
            </w:pPr>
          </w:p>
        </w:tc>
        <w:tc>
          <w:tcPr>
            <w:tcW w:w="930" w:type="dxa"/>
            <w:noWrap w:val="0"/>
            <w:vAlign w:val="center"/>
          </w:tcPr>
          <w:p w14:paraId="051A1030">
            <w:pPr>
              <w:pStyle w:val="302"/>
              <w:keepNext w:val="0"/>
              <w:keepLines w:val="0"/>
              <w:pageBreakBefore w:val="0"/>
              <w:widowControl w:val="0"/>
              <w:ind w:left="0"/>
              <w:jc w:val="center"/>
              <w:rPr>
                <w:rFonts w:ascii="Times New Roman"/>
                <w:color w:val="auto"/>
                <w:sz w:val="24"/>
                <w:highlight w:val="none"/>
              </w:rPr>
            </w:pPr>
          </w:p>
        </w:tc>
      </w:tr>
      <w:tr w14:paraId="11C5B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81" w:type="dxa"/>
            <w:noWrap w:val="0"/>
            <w:vAlign w:val="center"/>
          </w:tcPr>
          <w:p w14:paraId="57E1FC69">
            <w:pPr>
              <w:pStyle w:val="30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40D76E12">
            <w:pPr>
              <w:pStyle w:val="30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3E967BDD">
            <w:pPr>
              <w:pStyle w:val="30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74665513">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44D20C02">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093D3C4F">
            <w:pPr>
              <w:pStyle w:val="302"/>
              <w:keepNext w:val="0"/>
              <w:keepLines w:val="0"/>
              <w:pageBreakBefore w:val="0"/>
              <w:widowControl w:val="0"/>
              <w:ind w:left="0"/>
              <w:jc w:val="center"/>
              <w:rPr>
                <w:rFonts w:ascii="Times New Roman"/>
                <w:color w:val="auto"/>
                <w:sz w:val="24"/>
                <w:highlight w:val="none"/>
              </w:rPr>
            </w:pPr>
          </w:p>
        </w:tc>
        <w:tc>
          <w:tcPr>
            <w:tcW w:w="930" w:type="dxa"/>
            <w:noWrap w:val="0"/>
            <w:vAlign w:val="center"/>
          </w:tcPr>
          <w:p w14:paraId="51807704">
            <w:pPr>
              <w:pStyle w:val="302"/>
              <w:keepNext w:val="0"/>
              <w:keepLines w:val="0"/>
              <w:pageBreakBefore w:val="0"/>
              <w:widowControl w:val="0"/>
              <w:ind w:left="0"/>
              <w:jc w:val="center"/>
              <w:rPr>
                <w:rFonts w:ascii="Times New Roman"/>
                <w:color w:val="auto"/>
                <w:sz w:val="24"/>
                <w:highlight w:val="none"/>
              </w:rPr>
            </w:pPr>
          </w:p>
        </w:tc>
      </w:tr>
      <w:tr w14:paraId="1DACD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81" w:type="dxa"/>
            <w:noWrap w:val="0"/>
            <w:vAlign w:val="center"/>
          </w:tcPr>
          <w:p w14:paraId="1A9F67C7">
            <w:pPr>
              <w:pStyle w:val="30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08617D07">
            <w:pPr>
              <w:pStyle w:val="30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4F668520">
            <w:pPr>
              <w:pStyle w:val="30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50B37013">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43C26026">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71089794">
            <w:pPr>
              <w:pStyle w:val="302"/>
              <w:keepNext w:val="0"/>
              <w:keepLines w:val="0"/>
              <w:pageBreakBefore w:val="0"/>
              <w:widowControl w:val="0"/>
              <w:ind w:left="0"/>
              <w:jc w:val="center"/>
              <w:rPr>
                <w:rFonts w:ascii="Times New Roman"/>
                <w:color w:val="auto"/>
                <w:sz w:val="24"/>
                <w:highlight w:val="none"/>
              </w:rPr>
            </w:pPr>
          </w:p>
        </w:tc>
        <w:tc>
          <w:tcPr>
            <w:tcW w:w="930" w:type="dxa"/>
            <w:noWrap w:val="0"/>
            <w:vAlign w:val="center"/>
          </w:tcPr>
          <w:p w14:paraId="0984A546">
            <w:pPr>
              <w:pStyle w:val="302"/>
              <w:keepNext w:val="0"/>
              <w:keepLines w:val="0"/>
              <w:pageBreakBefore w:val="0"/>
              <w:widowControl w:val="0"/>
              <w:ind w:left="0"/>
              <w:jc w:val="center"/>
              <w:rPr>
                <w:rFonts w:ascii="Times New Roman"/>
                <w:color w:val="auto"/>
                <w:sz w:val="24"/>
                <w:highlight w:val="none"/>
              </w:rPr>
            </w:pPr>
          </w:p>
        </w:tc>
      </w:tr>
      <w:tr w14:paraId="5555A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781" w:type="dxa"/>
            <w:noWrap w:val="0"/>
            <w:vAlign w:val="center"/>
          </w:tcPr>
          <w:p w14:paraId="27E59512">
            <w:pPr>
              <w:pStyle w:val="30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550843DB">
            <w:pPr>
              <w:pStyle w:val="30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0D53B44F">
            <w:pPr>
              <w:pStyle w:val="30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402D5609">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743D8786">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6E628477">
            <w:pPr>
              <w:pStyle w:val="302"/>
              <w:keepNext w:val="0"/>
              <w:keepLines w:val="0"/>
              <w:pageBreakBefore w:val="0"/>
              <w:widowControl w:val="0"/>
              <w:ind w:left="0"/>
              <w:jc w:val="center"/>
              <w:rPr>
                <w:rFonts w:ascii="Times New Roman"/>
                <w:color w:val="auto"/>
                <w:sz w:val="24"/>
                <w:highlight w:val="none"/>
              </w:rPr>
            </w:pPr>
          </w:p>
        </w:tc>
        <w:tc>
          <w:tcPr>
            <w:tcW w:w="930" w:type="dxa"/>
            <w:noWrap w:val="0"/>
            <w:vAlign w:val="center"/>
          </w:tcPr>
          <w:p w14:paraId="6513768A">
            <w:pPr>
              <w:pStyle w:val="302"/>
              <w:keepNext w:val="0"/>
              <w:keepLines w:val="0"/>
              <w:pageBreakBefore w:val="0"/>
              <w:widowControl w:val="0"/>
              <w:ind w:left="0"/>
              <w:jc w:val="center"/>
              <w:rPr>
                <w:rFonts w:ascii="Times New Roman"/>
                <w:color w:val="auto"/>
                <w:sz w:val="24"/>
                <w:highlight w:val="none"/>
              </w:rPr>
            </w:pPr>
          </w:p>
        </w:tc>
      </w:tr>
      <w:tr w14:paraId="3775D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jc w:val="center"/>
        </w:trPr>
        <w:tc>
          <w:tcPr>
            <w:tcW w:w="781" w:type="dxa"/>
            <w:noWrap w:val="0"/>
            <w:vAlign w:val="center"/>
          </w:tcPr>
          <w:p w14:paraId="013EA758">
            <w:pPr>
              <w:pStyle w:val="30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188659F9">
            <w:pPr>
              <w:pStyle w:val="30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59FEA75B">
            <w:pPr>
              <w:pStyle w:val="30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5ED153D7">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3A18CA23">
            <w:pPr>
              <w:pStyle w:val="30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4FB36688">
            <w:pPr>
              <w:pStyle w:val="302"/>
              <w:keepNext w:val="0"/>
              <w:keepLines w:val="0"/>
              <w:pageBreakBefore w:val="0"/>
              <w:widowControl w:val="0"/>
              <w:ind w:left="0"/>
              <w:jc w:val="center"/>
              <w:rPr>
                <w:rFonts w:ascii="Times New Roman"/>
                <w:color w:val="auto"/>
                <w:sz w:val="24"/>
                <w:highlight w:val="none"/>
              </w:rPr>
            </w:pPr>
          </w:p>
        </w:tc>
        <w:tc>
          <w:tcPr>
            <w:tcW w:w="930" w:type="dxa"/>
            <w:noWrap w:val="0"/>
            <w:vAlign w:val="center"/>
          </w:tcPr>
          <w:p w14:paraId="7211E00E">
            <w:pPr>
              <w:pStyle w:val="302"/>
              <w:keepNext w:val="0"/>
              <w:keepLines w:val="0"/>
              <w:pageBreakBefore w:val="0"/>
              <w:widowControl w:val="0"/>
              <w:ind w:left="0"/>
              <w:jc w:val="center"/>
              <w:rPr>
                <w:rFonts w:ascii="Times New Roman"/>
                <w:color w:val="auto"/>
                <w:sz w:val="24"/>
                <w:highlight w:val="none"/>
              </w:rPr>
            </w:pPr>
          </w:p>
        </w:tc>
      </w:tr>
    </w:tbl>
    <w:p w14:paraId="00EC46BB">
      <w:pPr>
        <w:pStyle w:val="298"/>
        <w:jc w:val="center"/>
        <w:outlineLvl w:val="2"/>
        <w:rPr>
          <w:rStyle w:val="192"/>
          <w:rFonts w:ascii="宋体" w:hAnsi="宋体" w:eastAsia="宋体" w:cs="宋体"/>
          <w:b/>
          <w:bCs/>
          <w:color w:val="auto"/>
          <w:sz w:val="28"/>
          <w:highlight w:val="none"/>
        </w:rPr>
      </w:pPr>
    </w:p>
    <w:p w14:paraId="326DC6E9">
      <w:pPr>
        <w:pStyle w:val="14"/>
        <w:keepNext w:val="0"/>
        <w:keepLines w:val="0"/>
        <w:pageBreakBefore w:val="0"/>
        <w:spacing w:line="360" w:lineRule="auto"/>
        <w:ind w:left="0" w:right="0" w:firstLine="480"/>
        <w:rPr>
          <w:color w:val="auto"/>
          <w:highlight w:val="none"/>
          <w:u w:val="single"/>
        </w:rPr>
      </w:pPr>
      <w:r>
        <w:rPr>
          <w:color w:val="auto"/>
          <w:highlight w:val="none"/>
          <w:u w:val="single"/>
        </w:rPr>
        <w:t>注：1、行数不够，请自行添加。</w:t>
      </w:r>
    </w:p>
    <w:p w14:paraId="1BDFF400">
      <w:pPr>
        <w:pStyle w:val="14"/>
        <w:keepNext w:val="0"/>
        <w:keepLines w:val="0"/>
        <w:pageBreakBefore w:val="0"/>
        <w:spacing w:line="360" w:lineRule="auto"/>
        <w:ind w:left="0" w:right="0" w:firstLine="480"/>
        <w:rPr>
          <w:color w:val="auto"/>
          <w:highlight w:val="none"/>
          <w:u w:val="single"/>
        </w:rPr>
      </w:pPr>
      <w:r>
        <w:rPr>
          <w:color w:val="auto"/>
          <w:highlight w:val="none"/>
          <w:u w:val="single"/>
        </w:rPr>
        <w:t>2、列入本表人员如要更换，须经采购人同意，擅自更换属违约行为。</w:t>
      </w:r>
    </w:p>
    <w:p w14:paraId="554A0467">
      <w:pPr>
        <w:pStyle w:val="14"/>
        <w:keepNext w:val="0"/>
        <w:keepLines w:val="0"/>
        <w:pageBreakBefore w:val="0"/>
        <w:spacing w:line="360" w:lineRule="auto"/>
        <w:ind w:left="0" w:right="0" w:firstLine="480"/>
        <w:rPr>
          <w:color w:val="auto"/>
          <w:highlight w:val="none"/>
          <w:u w:val="single"/>
        </w:rPr>
      </w:pPr>
      <w:r>
        <w:rPr>
          <w:color w:val="auto"/>
          <w:highlight w:val="none"/>
          <w:u w:val="single"/>
        </w:rPr>
        <w:t>3</w:t>
      </w:r>
      <w:r>
        <w:rPr>
          <w:color w:val="auto"/>
          <w:spacing w:val="-1"/>
          <w:highlight w:val="none"/>
          <w:u w:val="single"/>
        </w:rPr>
        <w:t>、列入上表人员须</w:t>
      </w:r>
      <w:r>
        <w:rPr>
          <w:rFonts w:hint="eastAsia"/>
          <w:color w:val="auto"/>
          <w:spacing w:val="-1"/>
          <w:highlight w:val="none"/>
          <w:u w:val="single"/>
          <w:lang w:eastAsia="zh-CN"/>
        </w:rPr>
        <w:t>按采购文件要求</w:t>
      </w:r>
      <w:r>
        <w:rPr>
          <w:color w:val="auto"/>
          <w:spacing w:val="-1"/>
          <w:highlight w:val="none"/>
          <w:u w:val="single"/>
        </w:rPr>
        <w:t>提供供应商为其缴纳社会保险</w:t>
      </w:r>
      <w:r>
        <w:rPr>
          <w:rFonts w:hint="eastAsia"/>
          <w:color w:val="auto"/>
          <w:spacing w:val="-1"/>
          <w:highlight w:val="none"/>
          <w:u w:val="single"/>
          <w:lang w:eastAsia="zh-CN"/>
        </w:rPr>
        <w:t>证明材料</w:t>
      </w:r>
      <w:r>
        <w:rPr>
          <w:color w:val="auto"/>
          <w:highlight w:val="none"/>
          <w:u w:val="single"/>
        </w:rPr>
        <w:t>。</w:t>
      </w:r>
    </w:p>
    <w:p w14:paraId="7BBADB20">
      <w:pPr>
        <w:pStyle w:val="14"/>
        <w:keepNext w:val="0"/>
        <w:keepLines w:val="0"/>
        <w:pageBreakBefore w:val="0"/>
        <w:spacing w:line="360" w:lineRule="auto"/>
        <w:ind w:left="0" w:right="0" w:firstLine="480"/>
        <w:rPr>
          <w:rStyle w:val="192"/>
          <w:rFonts w:ascii="宋体" w:hAnsi="宋体" w:eastAsia="宋体" w:cs="宋体"/>
          <w:b/>
          <w:bCs/>
          <w:color w:val="auto"/>
          <w:sz w:val="28"/>
          <w:highlight w:val="none"/>
        </w:rPr>
      </w:pPr>
      <w:r>
        <w:rPr>
          <w:color w:val="auto"/>
          <w:highlight w:val="none"/>
          <w:u w:val="single"/>
        </w:rPr>
        <w:t>4、列入上表人员具有相关证书、工作经验的，应在本栏目提交相关证明材料扫描件。</w:t>
      </w:r>
    </w:p>
    <w:p w14:paraId="735700F0">
      <w:pPr>
        <w:pStyle w:val="298"/>
        <w:jc w:val="center"/>
        <w:outlineLvl w:val="2"/>
        <w:rPr>
          <w:rStyle w:val="192"/>
          <w:rFonts w:ascii="宋体" w:hAnsi="宋体" w:eastAsia="宋体" w:cs="宋体"/>
          <w:b/>
          <w:bCs/>
          <w:color w:val="auto"/>
          <w:sz w:val="28"/>
          <w:highlight w:val="none"/>
        </w:rPr>
      </w:pPr>
    </w:p>
    <w:p w14:paraId="0BABED07">
      <w:pPr>
        <w:pStyle w:val="14"/>
        <w:keepNext w:val="0"/>
        <w:keepLines w:val="0"/>
        <w:pageBreakBefore w:val="0"/>
        <w:widowControl w:val="0"/>
        <w:spacing w:line="360" w:lineRule="auto"/>
        <w:ind w:right="0"/>
        <w:jc w:val="right"/>
        <w:rPr>
          <w:rStyle w:val="192"/>
          <w:rFonts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rPr>
        <w:t>投标人名称（公章）：</w:t>
      </w:r>
    </w:p>
    <w:p w14:paraId="2DB886DF">
      <w:pPr>
        <w:keepNext w:val="0"/>
        <w:keepLines w:val="0"/>
        <w:pageBreakBefore w:val="0"/>
        <w:widowControl w:val="0"/>
        <w:spacing w:line="360" w:lineRule="auto"/>
        <w:jc w:val="right"/>
        <w:rPr>
          <w:rStyle w:val="192"/>
          <w:rFonts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rPr>
        <w:t>法定代表人或代理人（</w:t>
      </w:r>
      <w:r>
        <w:rPr>
          <w:rStyle w:val="192"/>
          <w:rFonts w:hint="eastAsia" w:ascii="宋体" w:hAnsi="宋体" w:eastAsia="宋体" w:cs="宋体"/>
          <w:color w:val="auto"/>
          <w:sz w:val="24"/>
          <w:szCs w:val="24"/>
          <w:highlight w:val="none"/>
          <w:lang w:eastAsia="zh-CN"/>
        </w:rPr>
        <w:t>签章</w:t>
      </w:r>
      <w:r>
        <w:rPr>
          <w:rStyle w:val="192"/>
          <w:rFonts w:hint="eastAsia" w:ascii="宋体" w:hAnsi="宋体" w:eastAsia="宋体" w:cs="宋体"/>
          <w:color w:val="auto"/>
          <w:sz w:val="24"/>
          <w:szCs w:val="24"/>
          <w:highlight w:val="none"/>
        </w:rPr>
        <w:t>）：</w:t>
      </w:r>
    </w:p>
    <w:p w14:paraId="1E2608FB">
      <w:pPr>
        <w:pStyle w:val="298"/>
        <w:jc w:val="right"/>
        <w:outlineLvl w:val="2"/>
        <w:rPr>
          <w:rStyle w:val="192"/>
          <w:rFonts w:ascii="宋体" w:hAnsi="宋体" w:eastAsia="宋体" w:cs="宋体"/>
          <w:b/>
          <w:bCs/>
          <w:color w:val="auto"/>
          <w:sz w:val="28"/>
          <w:highlight w:val="none"/>
        </w:rPr>
      </w:pPr>
      <w:bookmarkStart w:id="641" w:name="_Toc22086"/>
      <w:bookmarkStart w:id="642" w:name="_Toc29214"/>
      <w:bookmarkStart w:id="643" w:name="_Toc27065"/>
      <w:bookmarkStart w:id="644" w:name="_Toc13104"/>
      <w:r>
        <w:rPr>
          <w:rStyle w:val="192"/>
          <w:rFonts w:hint="eastAsia" w:ascii="宋体" w:hAnsi="宋体" w:eastAsia="宋体" w:cs="宋体"/>
          <w:color w:val="auto"/>
          <w:sz w:val="24"/>
          <w:szCs w:val="24"/>
          <w:highlight w:val="none"/>
        </w:rPr>
        <w:t>日期：</w:t>
      </w:r>
      <w:r>
        <w:rPr>
          <w:rStyle w:val="192"/>
          <w:rFonts w:hint="eastAsia" w:ascii="宋体" w:hAnsi="宋体" w:eastAsia="宋体" w:cs="宋体"/>
          <w:color w:val="auto"/>
          <w:sz w:val="24"/>
          <w:szCs w:val="24"/>
          <w:highlight w:val="none"/>
          <w:lang w:eastAsia="zh-CN"/>
        </w:rPr>
        <w:t>2026</w:t>
      </w:r>
      <w:r>
        <w:rPr>
          <w:rStyle w:val="192"/>
          <w:rFonts w:hint="eastAsia" w:ascii="宋体" w:hAnsi="宋体" w:eastAsia="宋体" w:cs="宋体"/>
          <w:color w:val="auto"/>
          <w:sz w:val="24"/>
          <w:szCs w:val="24"/>
          <w:highlight w:val="none"/>
        </w:rPr>
        <w:t>年</w:t>
      </w:r>
      <w:r>
        <w:rPr>
          <w:rStyle w:val="192"/>
          <w:rFonts w:hint="eastAsia" w:ascii="宋体" w:hAnsi="宋体" w:eastAsia="宋体" w:cs="宋体"/>
          <w:color w:val="auto"/>
          <w:sz w:val="24"/>
          <w:szCs w:val="24"/>
          <w:highlight w:val="none"/>
          <w:lang w:val="en-US" w:eastAsia="zh-CN"/>
        </w:rPr>
        <w:t xml:space="preserve">  </w:t>
      </w:r>
      <w:r>
        <w:rPr>
          <w:rStyle w:val="192"/>
          <w:rFonts w:hint="eastAsia" w:ascii="宋体" w:hAnsi="宋体" w:eastAsia="宋体" w:cs="宋体"/>
          <w:color w:val="auto"/>
          <w:sz w:val="24"/>
          <w:szCs w:val="24"/>
          <w:highlight w:val="none"/>
        </w:rPr>
        <w:t xml:space="preserve"> 月 </w:t>
      </w:r>
      <w:r>
        <w:rPr>
          <w:rStyle w:val="192"/>
          <w:rFonts w:hint="eastAsia" w:ascii="宋体" w:hAnsi="宋体" w:eastAsia="宋体" w:cs="宋体"/>
          <w:color w:val="auto"/>
          <w:sz w:val="24"/>
          <w:szCs w:val="24"/>
          <w:highlight w:val="none"/>
          <w:lang w:val="en-US" w:eastAsia="zh-CN"/>
        </w:rPr>
        <w:t xml:space="preserve">  </w:t>
      </w:r>
      <w:r>
        <w:rPr>
          <w:rStyle w:val="192"/>
          <w:rFonts w:hint="eastAsia" w:ascii="宋体" w:hAnsi="宋体" w:eastAsia="宋体" w:cs="宋体"/>
          <w:color w:val="auto"/>
          <w:sz w:val="24"/>
          <w:szCs w:val="24"/>
          <w:highlight w:val="none"/>
        </w:rPr>
        <w:t>日</w:t>
      </w:r>
      <w:bookmarkEnd w:id="641"/>
      <w:bookmarkEnd w:id="642"/>
      <w:bookmarkEnd w:id="643"/>
      <w:bookmarkEnd w:id="644"/>
    </w:p>
    <w:p w14:paraId="64CB6DA8">
      <w:pPr>
        <w:pStyle w:val="298"/>
        <w:jc w:val="center"/>
        <w:outlineLvl w:val="2"/>
        <w:rPr>
          <w:rStyle w:val="192"/>
          <w:rFonts w:ascii="宋体" w:hAnsi="宋体" w:eastAsia="宋体" w:cs="宋体"/>
          <w:b/>
          <w:bCs/>
          <w:color w:val="auto"/>
          <w:sz w:val="28"/>
          <w:highlight w:val="none"/>
        </w:rPr>
      </w:pPr>
    </w:p>
    <w:p w14:paraId="2EF133F8">
      <w:pPr>
        <w:pStyle w:val="298"/>
        <w:jc w:val="center"/>
        <w:outlineLvl w:val="2"/>
        <w:rPr>
          <w:rStyle w:val="192"/>
          <w:rFonts w:ascii="宋体" w:hAnsi="宋体" w:eastAsia="宋体" w:cs="宋体"/>
          <w:b/>
          <w:bCs/>
          <w:color w:val="auto"/>
          <w:sz w:val="28"/>
          <w:highlight w:val="none"/>
        </w:rPr>
      </w:pPr>
    </w:p>
    <w:p w14:paraId="4EBC68B0">
      <w:pPr>
        <w:pStyle w:val="298"/>
        <w:jc w:val="center"/>
        <w:outlineLvl w:val="2"/>
        <w:rPr>
          <w:rStyle w:val="192"/>
          <w:rFonts w:ascii="宋体" w:hAnsi="宋体" w:eastAsia="宋体" w:cs="宋体"/>
          <w:b/>
          <w:bCs/>
          <w:color w:val="auto"/>
          <w:sz w:val="28"/>
          <w:highlight w:val="none"/>
        </w:rPr>
      </w:pPr>
    </w:p>
    <w:p w14:paraId="3532D87E">
      <w:pPr>
        <w:pStyle w:val="298"/>
        <w:jc w:val="center"/>
        <w:outlineLvl w:val="2"/>
        <w:rPr>
          <w:rStyle w:val="192"/>
          <w:rFonts w:ascii="宋体" w:hAnsi="宋体" w:eastAsia="宋体" w:cs="宋体"/>
          <w:b/>
          <w:bCs/>
          <w:color w:val="auto"/>
          <w:sz w:val="28"/>
          <w:highlight w:val="none"/>
        </w:rPr>
      </w:pPr>
    </w:p>
    <w:p w14:paraId="65F6A9B6">
      <w:pPr>
        <w:rPr>
          <w:rStyle w:val="192"/>
          <w:rFonts w:ascii="宋体" w:hAnsi="宋体" w:eastAsia="宋体" w:cs="宋体"/>
          <w:b/>
          <w:bCs/>
          <w:color w:val="auto"/>
          <w:sz w:val="28"/>
          <w:highlight w:val="none"/>
        </w:rPr>
      </w:pPr>
      <w:r>
        <w:rPr>
          <w:rStyle w:val="192"/>
          <w:rFonts w:ascii="宋体" w:hAnsi="宋体" w:eastAsia="宋体" w:cs="宋体"/>
          <w:b/>
          <w:bCs/>
          <w:color w:val="auto"/>
          <w:sz w:val="28"/>
          <w:highlight w:val="none"/>
        </w:rPr>
        <w:br w:type="page" w:clear="all"/>
      </w:r>
    </w:p>
    <w:p w14:paraId="5C45579B">
      <w:pPr>
        <w:pStyle w:val="298"/>
        <w:jc w:val="center"/>
        <w:outlineLvl w:val="2"/>
        <w:rPr>
          <w:rStyle w:val="192"/>
          <w:rFonts w:ascii="Times New Roman" w:hAnsi="Times New Roman" w:eastAsia="Times New Roman" w:cs="Times New Roman"/>
          <w:color w:val="auto"/>
          <w:highlight w:val="none"/>
        </w:rPr>
      </w:pPr>
      <w:bookmarkStart w:id="645" w:name="_Toc23356"/>
      <w:r>
        <w:rPr>
          <w:rStyle w:val="192"/>
          <w:rFonts w:ascii="宋体" w:hAnsi="宋体" w:eastAsia="宋体" w:cs="宋体"/>
          <w:b/>
          <w:bCs/>
          <w:color w:val="auto"/>
          <w:sz w:val="28"/>
          <w:highlight w:val="none"/>
        </w:rPr>
        <w:t>(</w:t>
      </w:r>
      <w:r>
        <w:rPr>
          <w:rStyle w:val="192"/>
          <w:rFonts w:hint="eastAsia" w:ascii="宋体" w:hAnsi="宋体" w:eastAsia="宋体" w:cs="宋体"/>
          <w:b/>
          <w:bCs/>
          <w:color w:val="auto"/>
          <w:sz w:val="28"/>
          <w:highlight w:val="none"/>
          <w:lang w:eastAsia="zh-CN"/>
        </w:rPr>
        <w:t>四</w:t>
      </w:r>
      <w:r>
        <w:rPr>
          <w:rStyle w:val="192"/>
          <w:rFonts w:ascii="宋体" w:hAnsi="宋体" w:eastAsia="宋体" w:cs="宋体"/>
          <w:b/>
          <w:bCs/>
          <w:color w:val="auto"/>
          <w:sz w:val="28"/>
          <w:highlight w:val="none"/>
        </w:rPr>
        <w:t>)首次报价一览表</w:t>
      </w:r>
      <w:bookmarkEnd w:id="645"/>
    </w:p>
    <w:p w14:paraId="0F80083A">
      <w:pPr>
        <w:pStyle w:val="299"/>
        <w:rPr>
          <w:rStyle w:val="192"/>
          <w:rFonts w:ascii="Times New Roman" w:hAnsi="Times New Roman" w:eastAsia="Times New Roman" w:cs="Times New Roman"/>
          <w:color w:val="auto"/>
          <w:highlight w:val="none"/>
        </w:rPr>
      </w:pPr>
      <w:r>
        <w:rPr>
          <w:rStyle w:val="192"/>
          <w:rFonts w:ascii="宋体" w:hAnsi="宋体" w:eastAsia="宋体" w:cs="宋体"/>
          <w:color w:val="auto"/>
          <w:highlight w:val="none"/>
        </w:rPr>
        <w:t xml:space="preserve">﻿ </w:t>
      </w:r>
    </w:p>
    <w:p w14:paraId="43FE8B8B">
      <w:pPr>
        <w:pStyle w:val="299"/>
        <w:spacing w:before="320" w:after="320"/>
        <w:jc w:val="center"/>
        <w:rPr>
          <w:rStyle w:val="192"/>
          <w:rFonts w:ascii="宋体" w:hAnsi="宋体" w:eastAsia="宋体" w:cs="宋体"/>
          <w:b w:val="0"/>
          <w:bCs w:val="0"/>
          <w:color w:val="auto"/>
          <w:sz w:val="32"/>
          <w:szCs w:val="32"/>
          <w:highlight w:val="none"/>
        </w:rPr>
      </w:pPr>
      <w:r>
        <w:rPr>
          <w:rStyle w:val="192"/>
          <w:rFonts w:hint="eastAsia" w:ascii="宋体" w:hAnsi="宋体" w:eastAsia="宋体" w:cs="宋体"/>
          <w:b w:val="0"/>
          <w:bCs w:val="0"/>
          <w:color w:val="auto"/>
          <w:sz w:val="32"/>
          <w:szCs w:val="32"/>
          <w:highlight w:val="none"/>
          <w:lang w:eastAsia="zh-CN"/>
        </w:rPr>
        <w:t>磋商报价</w:t>
      </w:r>
      <w:r>
        <w:rPr>
          <w:rStyle w:val="192"/>
          <w:rFonts w:ascii="宋体" w:hAnsi="宋体" w:eastAsia="宋体" w:cs="宋体"/>
          <w:b w:val="0"/>
          <w:bCs w:val="0"/>
          <w:color w:val="auto"/>
          <w:sz w:val="32"/>
          <w:szCs w:val="32"/>
          <w:highlight w:val="none"/>
        </w:rPr>
        <w:t>表</w:t>
      </w:r>
    </w:p>
    <w:p w14:paraId="0F09BB00">
      <w:pPr>
        <w:pStyle w:val="299"/>
        <w:spacing w:before="240" w:after="240"/>
        <w:rPr>
          <w:rStyle w:val="192"/>
          <w:rFonts w:ascii="宋体" w:hAnsi="宋体" w:eastAsia="宋体" w:cs="宋体"/>
          <w:color w:val="auto"/>
          <w:sz w:val="24"/>
          <w:szCs w:val="24"/>
          <w:highlight w:val="none"/>
        </w:rPr>
      </w:pPr>
      <w:r>
        <w:rPr>
          <w:rStyle w:val="192"/>
          <w:rFonts w:ascii="宋体" w:hAnsi="宋体" w:eastAsia="宋体" w:cs="宋体"/>
          <w:color w:val="auto"/>
          <w:highlight w:val="none"/>
        </w:rPr>
        <w:t>货币单位：人民币元   </w:t>
      </w:r>
    </w:p>
    <w:p w14:paraId="07C5F553">
      <w:pPr>
        <w:pStyle w:val="228"/>
        <w:rPr>
          <w:color w:val="auto"/>
          <w:highlight w:val="none"/>
        </w:rPr>
      </w:pPr>
      <w:r>
        <w:rPr>
          <w:color w:val="auto"/>
          <w:highlight w:val="none"/>
        </w:rPr>
        <w:t>项目编号：</w:t>
      </w:r>
      <w:r>
        <w:rPr>
          <w:rFonts w:hint="eastAsia"/>
          <w:color w:val="auto"/>
          <w:highlight w:val="none"/>
          <w:lang w:eastAsia="zh-CN"/>
        </w:rPr>
        <w:t>JSZC-321181-DYWX-C2026-0008</w:t>
      </w:r>
    </w:p>
    <w:tbl>
      <w:tblPr>
        <w:tblStyle w:val="33"/>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91"/>
        <w:gridCol w:w="2614"/>
        <w:gridCol w:w="3051"/>
      </w:tblGrid>
      <w:tr w14:paraId="0C0A9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491" w:type="dxa"/>
            <w:noWrap w:val="0"/>
            <w:vAlign w:val="center"/>
          </w:tcPr>
          <w:p w14:paraId="093AD5BF">
            <w:pPr>
              <w:spacing w:after="0" w:line="240" w:lineRule="auto"/>
              <w:jc w:val="center"/>
              <w:rPr>
                <w:color w:val="auto"/>
                <w:sz w:val="24"/>
                <w:szCs w:val="24"/>
                <w:highlight w:val="none"/>
                <w:vertAlign w:val="baseline"/>
              </w:rPr>
            </w:pPr>
            <w:r>
              <w:rPr>
                <w:color w:val="auto"/>
                <w:sz w:val="24"/>
                <w:szCs w:val="24"/>
                <w:highlight w:val="none"/>
              </w:rPr>
              <w:t>项目名称</w:t>
            </w:r>
          </w:p>
        </w:tc>
        <w:tc>
          <w:tcPr>
            <w:tcW w:w="2614" w:type="dxa"/>
            <w:noWrap w:val="0"/>
            <w:vAlign w:val="center"/>
          </w:tcPr>
          <w:p w14:paraId="25BCF526">
            <w:pPr>
              <w:spacing w:after="0" w:line="240" w:lineRule="auto"/>
              <w:jc w:val="center"/>
              <w:rPr>
                <w:color w:val="auto"/>
                <w:sz w:val="24"/>
                <w:szCs w:val="24"/>
                <w:highlight w:val="none"/>
                <w:vertAlign w:val="baseline"/>
              </w:rPr>
            </w:pPr>
            <w:r>
              <w:rPr>
                <w:color w:val="auto"/>
                <w:sz w:val="24"/>
                <w:szCs w:val="24"/>
                <w:highlight w:val="none"/>
              </w:rPr>
              <w:t>项目内容</w:t>
            </w:r>
          </w:p>
        </w:tc>
        <w:tc>
          <w:tcPr>
            <w:tcW w:w="3051" w:type="dxa"/>
            <w:noWrap w:val="0"/>
            <w:vAlign w:val="center"/>
          </w:tcPr>
          <w:p w14:paraId="70D3718B">
            <w:pPr>
              <w:spacing w:after="0" w:line="240" w:lineRule="auto"/>
              <w:jc w:val="center"/>
              <w:rPr>
                <w:color w:val="auto"/>
                <w:sz w:val="24"/>
                <w:szCs w:val="24"/>
                <w:highlight w:val="none"/>
                <w:vertAlign w:val="baseline"/>
              </w:rPr>
            </w:pPr>
            <w:r>
              <w:rPr>
                <w:color w:val="auto"/>
                <w:sz w:val="24"/>
                <w:szCs w:val="24"/>
                <w:highlight w:val="none"/>
              </w:rPr>
              <w:t>总价（小写）</w:t>
            </w:r>
          </w:p>
        </w:tc>
      </w:tr>
      <w:tr w14:paraId="100CC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3491" w:type="dxa"/>
            <w:noWrap w:val="0"/>
            <w:vAlign w:val="center"/>
          </w:tcPr>
          <w:p w14:paraId="38A09277">
            <w:pPr>
              <w:spacing w:after="0" w:line="240" w:lineRule="auto"/>
              <w:jc w:val="center"/>
              <w:rPr>
                <w:color w:val="auto"/>
                <w:sz w:val="24"/>
                <w:szCs w:val="24"/>
                <w:highlight w:val="none"/>
                <w:vertAlign w:val="baseline"/>
              </w:rPr>
            </w:pPr>
            <w:r>
              <w:rPr>
                <w:rFonts w:hint="eastAsia"/>
                <w:color w:val="auto"/>
                <w:sz w:val="24"/>
                <w:szCs w:val="24"/>
                <w:highlight w:val="none"/>
                <w:vertAlign w:val="baseline"/>
                <w:lang w:eastAsia="zh-CN"/>
              </w:rPr>
              <w:t>丹阳市正则高级中学宿舍修缮出新项目</w:t>
            </w:r>
          </w:p>
        </w:tc>
        <w:tc>
          <w:tcPr>
            <w:tcW w:w="2614" w:type="dxa"/>
            <w:noWrap w:val="0"/>
            <w:vAlign w:val="center"/>
          </w:tcPr>
          <w:p w14:paraId="4618A59F">
            <w:pPr>
              <w:spacing w:after="0" w:line="240" w:lineRule="auto"/>
              <w:jc w:val="center"/>
              <w:rPr>
                <w:color w:val="auto"/>
                <w:sz w:val="24"/>
                <w:szCs w:val="24"/>
                <w:highlight w:val="none"/>
                <w:vertAlign w:val="baseline"/>
              </w:rPr>
            </w:pPr>
            <w:r>
              <w:rPr>
                <w:color w:val="auto"/>
                <w:sz w:val="24"/>
                <w:szCs w:val="24"/>
                <w:highlight w:val="none"/>
              </w:rPr>
              <w:t>详见响应文件</w:t>
            </w:r>
          </w:p>
        </w:tc>
        <w:tc>
          <w:tcPr>
            <w:tcW w:w="3051" w:type="dxa"/>
            <w:noWrap w:val="0"/>
            <w:vAlign w:val="center"/>
          </w:tcPr>
          <w:p w14:paraId="1B9B9F58">
            <w:pPr>
              <w:spacing w:after="0" w:line="240" w:lineRule="auto"/>
              <w:jc w:val="center"/>
              <w:rPr>
                <w:rFonts w:hint="eastAsia" w:eastAsia="宋体"/>
                <w:color w:val="auto"/>
                <w:sz w:val="24"/>
                <w:szCs w:val="24"/>
                <w:highlight w:val="none"/>
                <w:vertAlign w:val="baseline"/>
              </w:rPr>
            </w:pPr>
            <w:r>
              <w:rPr>
                <w:rFonts w:hint="eastAsia"/>
                <w:color w:val="auto"/>
                <w:sz w:val="24"/>
                <w:szCs w:val="24"/>
                <w:highlight w:val="none"/>
                <w:vertAlign w:val="baseline"/>
                <w:lang w:eastAsia="zh-CN"/>
              </w:rPr>
              <w:t>元</w:t>
            </w:r>
          </w:p>
        </w:tc>
      </w:tr>
      <w:tr w14:paraId="27D1E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3491" w:type="dxa"/>
            <w:noWrap w:val="0"/>
            <w:vAlign w:val="center"/>
          </w:tcPr>
          <w:p w14:paraId="4ADCFB99">
            <w:pPr>
              <w:spacing w:after="0" w:line="240" w:lineRule="auto"/>
              <w:ind w:firstLine="210"/>
              <w:jc w:val="left"/>
              <w:rPr>
                <w:rFonts w:hint="eastAsia" w:eastAsia="宋体"/>
                <w:color w:val="auto"/>
                <w:sz w:val="24"/>
                <w:szCs w:val="24"/>
                <w:highlight w:val="none"/>
                <w:vertAlign w:val="baseline"/>
              </w:rPr>
            </w:pPr>
            <w:r>
              <w:rPr>
                <w:rFonts w:hint="eastAsia"/>
                <w:color w:val="auto"/>
                <w:sz w:val="24"/>
                <w:szCs w:val="24"/>
                <w:highlight w:val="none"/>
                <w:vertAlign w:val="baseline"/>
                <w:lang w:eastAsia="zh-CN"/>
              </w:rPr>
              <w:t>总价（大写）：</w:t>
            </w:r>
          </w:p>
        </w:tc>
        <w:tc>
          <w:tcPr>
            <w:tcW w:w="5665" w:type="dxa"/>
            <w:gridSpan w:val="2"/>
            <w:noWrap w:val="0"/>
            <w:vAlign w:val="center"/>
          </w:tcPr>
          <w:p w14:paraId="19FCF91B">
            <w:pPr>
              <w:spacing w:after="0" w:line="240" w:lineRule="auto"/>
              <w:ind w:firstLine="210"/>
              <w:jc w:val="left"/>
              <w:rPr>
                <w:rFonts w:hint="eastAsia"/>
                <w:color w:val="auto"/>
                <w:sz w:val="24"/>
                <w:szCs w:val="24"/>
                <w:highlight w:val="none"/>
                <w:vertAlign w:val="baseline"/>
                <w:lang w:eastAsia="zh-CN"/>
              </w:rPr>
            </w:pPr>
          </w:p>
        </w:tc>
      </w:tr>
    </w:tbl>
    <w:p w14:paraId="2F4372CC">
      <w:pPr>
        <w:pStyle w:val="299"/>
        <w:keepNext w:val="0"/>
        <w:keepLines w:val="0"/>
        <w:pageBreakBefore w:val="0"/>
        <w:widowControl/>
        <w:spacing w:before="120" w:after="120"/>
        <w:ind w:firstLine="480"/>
        <w:rPr>
          <w:rStyle w:val="192"/>
          <w:rFonts w:ascii="宋体" w:hAnsi="宋体" w:eastAsia="宋体" w:cs="宋体"/>
          <w:color w:val="auto"/>
          <w:highlight w:val="none"/>
        </w:rPr>
      </w:pPr>
    </w:p>
    <w:p w14:paraId="657C3DE2">
      <w:pPr>
        <w:pStyle w:val="299"/>
        <w:keepNext w:val="0"/>
        <w:keepLines w:val="0"/>
        <w:pageBreakBefore w:val="0"/>
        <w:widowControl/>
        <w:spacing w:before="120" w:after="120"/>
        <w:ind w:firstLine="480"/>
        <w:jc w:val="right"/>
        <w:rPr>
          <w:rStyle w:val="192"/>
          <w:rFonts w:ascii="宋体" w:hAnsi="宋体" w:eastAsia="宋体" w:cs="宋体"/>
          <w:color w:val="auto"/>
          <w:highlight w:val="none"/>
        </w:rPr>
      </w:pPr>
    </w:p>
    <w:p w14:paraId="7B5BEE68">
      <w:pPr>
        <w:pStyle w:val="299"/>
        <w:spacing w:before="240" w:after="240"/>
        <w:jc w:val="left"/>
        <w:rPr>
          <w:rStyle w:val="192"/>
          <w:rFonts w:ascii="宋体" w:hAnsi="宋体" w:eastAsia="宋体" w:cs="宋体"/>
          <w:color w:val="auto"/>
          <w:highlight w:val="none"/>
        </w:rPr>
      </w:pPr>
      <w:r>
        <w:rPr>
          <w:rStyle w:val="192"/>
          <w:rFonts w:ascii="宋体" w:hAnsi="宋体" w:eastAsia="宋体" w:cs="宋体"/>
          <w:color w:val="auto"/>
          <w:highlight w:val="none"/>
        </w:rPr>
        <w:t>响应单位（公章）：   </w:t>
      </w:r>
    </w:p>
    <w:p w14:paraId="61188E57">
      <w:pPr>
        <w:pStyle w:val="299"/>
        <w:spacing w:before="240" w:after="240"/>
        <w:jc w:val="left"/>
        <w:rPr>
          <w:rStyle w:val="192"/>
          <w:rFonts w:ascii="宋体" w:hAnsi="宋体" w:eastAsia="宋体" w:cs="宋体"/>
          <w:color w:val="auto"/>
          <w:highlight w:val="none"/>
        </w:rPr>
      </w:pPr>
    </w:p>
    <w:p w14:paraId="16C95320">
      <w:pPr>
        <w:pStyle w:val="299"/>
        <w:spacing w:before="240" w:after="240"/>
        <w:jc w:val="right"/>
        <w:rPr>
          <w:rStyle w:val="192"/>
          <w:rFonts w:hint="default" w:ascii="宋体" w:hAnsi="宋体" w:eastAsia="宋体" w:cs="宋体"/>
          <w:color w:val="auto"/>
          <w:highlight w:val="none"/>
          <w:lang w:val="en-US" w:eastAsia="zh-CN"/>
        </w:rPr>
      </w:pPr>
      <w:r>
        <w:rPr>
          <w:rStyle w:val="192"/>
          <w:rFonts w:hint="eastAsia" w:ascii="宋体" w:hAnsi="宋体" w:eastAsia="宋体" w:cs="宋体"/>
          <w:color w:val="auto"/>
          <w:highlight w:val="none"/>
          <w:lang w:eastAsia="zh-CN"/>
        </w:rPr>
        <w:t>日期：</w:t>
      </w:r>
      <w:r>
        <w:rPr>
          <w:rStyle w:val="192"/>
          <w:rFonts w:hint="eastAsia" w:ascii="宋体" w:hAnsi="宋体" w:eastAsia="宋体" w:cs="宋体"/>
          <w:color w:val="auto"/>
          <w:highlight w:val="none"/>
          <w:lang w:val="en-US" w:eastAsia="zh-CN"/>
        </w:rPr>
        <w:t xml:space="preserve">      年     月    日</w:t>
      </w:r>
    </w:p>
    <w:p w14:paraId="1A115618">
      <w:pPr>
        <w:pStyle w:val="300"/>
        <w:jc w:val="center"/>
        <w:outlineLvl w:val="2"/>
        <w:rPr>
          <w:rStyle w:val="192"/>
          <w:rFonts w:ascii="Times New Roman" w:hAnsi="Times New Roman" w:eastAsia="Times New Roman" w:cs="Times New Roman"/>
          <w:color w:val="auto"/>
          <w:highlight w:val="none"/>
        </w:rPr>
      </w:pPr>
      <w:r>
        <w:rPr>
          <w:rStyle w:val="192"/>
          <w:rFonts w:ascii="Times New Roman" w:hAnsi="Times New Roman" w:eastAsia="Times New Roman" w:cs="Times New Roman"/>
          <w:color w:val="auto"/>
          <w:highlight w:val="none"/>
        </w:rPr>
        <w:br w:type="page" w:clear="all"/>
      </w:r>
      <w:bookmarkStart w:id="646" w:name="_Toc2123"/>
      <w:r>
        <w:rPr>
          <w:rStyle w:val="192"/>
          <w:rFonts w:ascii="宋体" w:hAnsi="宋体" w:eastAsia="宋体" w:cs="宋体"/>
          <w:b/>
          <w:bCs/>
          <w:color w:val="auto"/>
          <w:sz w:val="28"/>
          <w:highlight w:val="none"/>
        </w:rPr>
        <w:t>(</w:t>
      </w:r>
      <w:r>
        <w:rPr>
          <w:rStyle w:val="192"/>
          <w:rFonts w:hint="eastAsia" w:ascii="宋体" w:hAnsi="宋体" w:eastAsia="宋体" w:cs="宋体"/>
          <w:b/>
          <w:bCs/>
          <w:color w:val="auto"/>
          <w:sz w:val="28"/>
          <w:highlight w:val="none"/>
          <w:lang w:eastAsia="zh-CN"/>
        </w:rPr>
        <w:t>五</w:t>
      </w:r>
      <w:r>
        <w:rPr>
          <w:rStyle w:val="192"/>
          <w:rFonts w:ascii="宋体" w:hAnsi="宋体" w:eastAsia="宋体" w:cs="宋体"/>
          <w:b/>
          <w:bCs/>
          <w:color w:val="auto"/>
          <w:sz w:val="28"/>
          <w:highlight w:val="none"/>
        </w:rPr>
        <w:t>)已标价工程量清单</w:t>
      </w:r>
      <w:bookmarkEnd w:id="646"/>
    </w:p>
    <w:p w14:paraId="388E2ABD">
      <w:pPr>
        <w:pStyle w:val="305"/>
        <w:jc w:val="center"/>
        <w:outlineLvl w:val="1"/>
        <w:rPr>
          <w:rFonts w:hint="eastAsia" w:ascii="宋体" w:hAnsi="宋体"/>
          <w:color w:val="auto"/>
          <w:sz w:val="24"/>
          <w:szCs w:val="24"/>
          <w:highlight w:val="none"/>
        </w:rPr>
      </w:pPr>
    </w:p>
    <w:p w14:paraId="47D9BDCD">
      <w:pPr>
        <w:pStyle w:val="305"/>
        <w:jc w:val="center"/>
        <w:outlineLvl w:val="1"/>
        <w:rPr>
          <w:rFonts w:hint="eastAsia"/>
          <w:color w:val="auto"/>
          <w:sz w:val="20"/>
          <w:highlight w:val="none"/>
        </w:rPr>
      </w:pPr>
      <w:bookmarkStart w:id="647" w:name="_Toc5576"/>
      <w:r>
        <w:rPr>
          <w:rStyle w:val="192"/>
          <w:rFonts w:hint="eastAsia" w:ascii="宋体" w:hAnsi="宋体" w:eastAsia="宋体" w:cs="宋体"/>
          <w:b w:val="0"/>
          <w:color w:val="auto"/>
          <w:sz w:val="24"/>
          <w:szCs w:val="32"/>
          <w:highlight w:val="none"/>
          <w:lang w:eastAsia="zh-CN"/>
        </w:rPr>
        <w:t>根据采购人提供的工程量清单格式进行投标报价，按表式要求盖章签字后上传，否则其投标响应无效。</w:t>
      </w:r>
      <w:r>
        <w:rPr>
          <w:rStyle w:val="192"/>
          <w:rFonts w:ascii="Times New Roman" w:hAnsi="Times New Roman" w:eastAsia="Times New Roman" w:cs="Times New Roman"/>
          <w:color w:val="auto"/>
          <w:highlight w:val="none"/>
        </w:rPr>
        <w:br w:type="page" w:clear="all"/>
      </w:r>
      <w:r>
        <w:rPr>
          <w:rStyle w:val="192"/>
          <w:rFonts w:ascii="宋体" w:hAnsi="宋体" w:eastAsia="宋体" w:cs="宋体"/>
          <w:b/>
          <w:bCs/>
          <w:color w:val="auto"/>
          <w:sz w:val="32"/>
          <w:highlight w:val="none"/>
        </w:rPr>
        <w:t>四、按磋商文件要求供应商所能提供的其他文件</w:t>
      </w:r>
      <w:bookmarkEnd w:id="647"/>
      <w:r>
        <w:rPr>
          <w:rFonts w:hint="eastAsia"/>
          <w:color w:val="auto"/>
          <w:sz w:val="20"/>
          <w:highlight w:val="none"/>
        </w:rPr>
        <w:t xml:space="preserve"> </w:t>
      </w:r>
    </w:p>
    <w:sectPr>
      <w:footerReference r:id="rId9" w:type="first"/>
      <w:headerReference r:id="rId7" w:type="default"/>
      <w:footerReference r:id="rId8" w:type="default"/>
      <w:pgSz w:w="11906" w:h="16838"/>
      <w:pgMar w:top="1440" w:right="1270" w:bottom="1440" w:left="127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2FF" w:usb1="400004FF" w:usb2="00000000" w:usb3="00000000" w:csb0="2000019F" w:csb1="00000000"/>
  </w:font>
  <w:font w:name="等线">
    <w:altName w:val="Arial Unicode MS"/>
    <w:panose1 w:val="02010600030101010101"/>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华文仿宋">
    <w:panose1 w:val="02010600040101010101"/>
    <w:charset w:val="86"/>
    <w:family w:val="auto"/>
    <w:pitch w:val="default"/>
    <w:sig w:usb0="00000287" w:usb1="080F0000" w:usb2="00000000" w:usb3="00000000" w:csb0="0004009F" w:csb1="DFD70000"/>
  </w:font>
  <w:font w:name="隶书">
    <w:panose1 w:val="0201050906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MingLiU">
    <w:panose1 w:val="02020509000000000000"/>
    <w:charset w:val="88"/>
    <w:family w:val="modern"/>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7DCE1">
    <w:pPr>
      <w:pStyle w:val="20"/>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FB7B99">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11X0zsCAABwBAAADgAAAAAAAAABACAAAAAfAQAAZHJzL2Uyb0Rv&#10;Yy54bWxQSwUGAAAAAAYABgBZAQAAzAUAAAAA&#10;">
              <v:fill on="f" focussize="0,0"/>
              <v:stroke on="f" weight="0.5pt"/>
              <v:imagedata o:title=""/>
              <o:lock v:ext="edit" aspectratio="f"/>
              <v:textbox inset="0mm,0mm,0mm,0mm" style="mso-fit-shape-to-text:t;">
                <w:txbxContent>
                  <w:p w14:paraId="58FB7B99">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CC4FB">
    <w:pPr>
      <w:pStyle w:val="20"/>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7AC4C0">
                          <w:pPr>
                            <w:pStyle w:val="2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sjfPw9AgAAcA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LI3z8PQIAAHAEAAAOAAAAAAAAAAEAIAAAAB8BAABkcnMvZTJv&#10;RG9jLnhtbFBLBQYAAAAABgAGAFkBAADOBQAAAAA=&#10;">
              <v:fill on="f" focussize="0,0"/>
              <v:stroke on="f" weight="0.5pt"/>
              <v:imagedata o:title=""/>
              <o:lock v:ext="edit" aspectratio="f"/>
              <v:textbox inset="0mm,0mm,0mm,0mm" style="mso-fit-shape-to-text:t;">
                <w:txbxContent>
                  <w:p w14:paraId="2D7AC4C0">
                    <w:pPr>
                      <w:pStyle w:val="2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7E420">
    <w:pPr>
      <w:pStyle w:val="21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043254">
                          <w:pPr>
                            <w:pStyle w:val="21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74</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b5bQ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LOsj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rm+W0PQIAAG8EAAAOAAAAAAAAAAEAIAAAAB8BAABkcnMvZTJv&#10;RG9jLnhtbFBLBQYAAAAABgAGAFkBAADOBQAAAAA=&#10;">
              <v:fill on="f" focussize="0,0"/>
              <v:stroke on="f" weight="0.5pt"/>
              <v:imagedata o:title=""/>
              <o:lock v:ext="edit" aspectratio="f"/>
              <v:textbox inset="0mm,0mm,0mm,0mm" style="mso-fit-shape-to-text:t;">
                <w:txbxContent>
                  <w:p w14:paraId="13043254">
                    <w:pPr>
                      <w:pStyle w:val="21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74</w:t>
                    </w:r>
                    <w:r>
                      <w:rPr>
                        <w:lang w:val="zh-CN"/>
                      </w:rPr>
                      <w:fldChar w:fldCharType="end"/>
                    </w:r>
                  </w:p>
                </w:txbxContent>
              </v:textbox>
            </v:shape>
          </w:pict>
        </mc:Fallback>
      </mc:AlternateContent>
    </w:r>
  </w:p>
  <w:p w14:paraId="1E703726">
    <w:pPr>
      <w:pStyle w:val="2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E31AC">
    <w:pPr>
      <w:pStyle w:val="21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F38993">
                          <w:pPr>
                            <w:pStyle w:val="219"/>
                            <w:jc w:val="center"/>
                          </w:pPr>
                          <w:r>
                            <w:fldChar w:fldCharType="begin"/>
                          </w:r>
                          <w:r>
                            <w:rPr>
                              <w:rStyle w:val="231"/>
                              <w:highlight w:val="white"/>
                            </w:rPr>
                            <w:instrText xml:space="preserve"> PAGE </w:instrText>
                          </w:r>
                          <w:r>
                            <w:fldChar w:fldCharType="separate"/>
                          </w:r>
                          <w:r>
                            <w:rPr>
                              <w:rStyle w:val="231"/>
                              <w:highlight w:val="white"/>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DidLQU8AgAAbwQAAA4AAAAAAAAAAQAgAAAAHwEAAGRycy9lMm9E&#10;b2MueG1sUEsFBgAAAAAGAAYAWQEAAM0FAAAAAA==&#10;">
              <v:fill on="f" focussize="0,0"/>
              <v:stroke on="f" weight="0.5pt"/>
              <v:imagedata o:title=""/>
              <o:lock v:ext="edit" aspectratio="f"/>
              <v:textbox inset="0mm,0mm,0mm,0mm" style="mso-fit-shape-to-text:t;">
                <w:txbxContent>
                  <w:p w14:paraId="4BF38993">
                    <w:pPr>
                      <w:pStyle w:val="219"/>
                      <w:jc w:val="center"/>
                    </w:pPr>
                    <w:r>
                      <w:fldChar w:fldCharType="begin"/>
                    </w:r>
                    <w:r>
                      <w:rPr>
                        <w:rStyle w:val="231"/>
                        <w:highlight w:val="white"/>
                      </w:rPr>
                      <w:instrText xml:space="preserve"> PAGE </w:instrText>
                    </w:r>
                    <w:r>
                      <w:fldChar w:fldCharType="separate"/>
                    </w:r>
                    <w:r>
                      <w:rPr>
                        <w:rStyle w:val="231"/>
                        <w:highlight w:val="white"/>
                      </w:rP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D6EB2">
    <w:pPr>
      <w:pStyle w:val="21"/>
      <w:tabs>
        <w:tab w:val="center" w:pos="4153"/>
        <w:tab w:val="right" w:pos="8306"/>
        <w:tab w:val="clear" w:pos="7143"/>
        <w:tab w:val="clear" w:pos="14287"/>
      </w:tabs>
      <w:jc w:val="center"/>
      <w:rPr>
        <w:rFonts w:hint="eastAsia" w:ascii="华文仿宋" w:hAnsi="华文仿宋" w:eastAsia="华文仿宋" w:cs="华文仿宋"/>
        <w:sz w:val="21"/>
        <w:szCs w:val="21"/>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B67CD">
    <w:pPr>
      <w:pStyle w:val="21"/>
      <w:pBdr>
        <w:bottom w:val="none" w:color="auto" w:sz="0" w:space="1"/>
      </w:pBdr>
      <w:tabs>
        <w:tab w:val="center" w:pos="4153"/>
        <w:tab w:val="right" w:pos="8306"/>
        <w:tab w:val="clear" w:pos="7143"/>
        <w:tab w:val="clear" w:pos="1428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5E4C0">
    <w:pPr>
      <w:pStyle w:val="221"/>
      <w:pBdr>
        <w:bottom w:val="none" w:color="000000" w:sz="0" w:space="1"/>
      </w:pBdr>
      <w:jc w:val="left"/>
      <w:rPr>
        <w:rFonts w:ascii="宋体" w:hAnsi="宋体"/>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tabs>
          <w:tab w:val="left" w:pos="425"/>
        </w:tabs>
        <w:ind w:left="425" w:hanging="425"/>
      </w:pPr>
    </w:lvl>
    <w:lvl w:ilvl="1" w:tentative="0">
      <w:start w:val="1"/>
      <w:numFmt w:val="decimal"/>
      <w:pStyle w:val="242"/>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
    <w:nsid w:val="CF092B84"/>
    <w:multiLevelType w:val="multilevel"/>
    <w:tmpl w:val="CF092B84"/>
    <w:lvl w:ilvl="0" w:tentative="0">
      <w:start w:val="1"/>
      <w:numFmt w:val="decimal"/>
      <w:pStyle w:val="241"/>
      <w:lvlText w:val="%1."/>
      <w:lvlJc w:val="left"/>
      <w:pPr>
        <w:tabs>
          <w:tab w:val="left" w:pos="709"/>
        </w:tabs>
        <w:ind w:left="709" w:hanging="709"/>
      </w:pPr>
      <w:rPr>
        <w:color w:val="000000"/>
      </w:r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0053208E"/>
    <w:multiLevelType w:val="multilevel"/>
    <w:tmpl w:val="0053208E"/>
    <w:lvl w:ilvl="0" w:tentative="0">
      <w:start w:val="1"/>
      <w:numFmt w:val="upperLetter"/>
      <w:pStyle w:val="23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3A7BD7"/>
    <w:rsid w:val="11693B75"/>
    <w:rsid w:val="1BB92BDD"/>
    <w:rsid w:val="21A1039B"/>
    <w:rsid w:val="315947EF"/>
    <w:rsid w:val="3D16440C"/>
    <w:rsid w:val="420C765B"/>
    <w:rsid w:val="53B351DF"/>
    <w:rsid w:val="5458228C"/>
    <w:rsid w:val="578F62E8"/>
    <w:rsid w:val="586B6A32"/>
    <w:rsid w:val="5B1400AB"/>
    <w:rsid w:val="628A21AA"/>
    <w:rsid w:val="66F24777"/>
    <w:rsid w:val="685B5B85"/>
    <w:rsid w:val="6A157A98"/>
    <w:rsid w:val="7C662EE9"/>
    <w:rsid w:val="7CD73DE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11"/>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spacing w:line="240" w:lineRule="auto"/>
      <w:ind w:firstLine="420"/>
    </w:pPr>
    <w:rPr>
      <w:rFonts w:ascii="Times New Roman" w:hAnsi="Times New Roman" w:eastAsia="宋体" w:cs="Times New Roman"/>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1"/>
    <w:rPr>
      <w:rFonts w:ascii="宋体" w:hAnsi="宋体" w:eastAsia="宋体" w:cs="宋体"/>
      <w:sz w:val="24"/>
      <w:szCs w:val="24"/>
      <w:lang w:val="zh-CN" w:eastAsia="zh-CN" w:bidi="zh-CN"/>
    </w:rPr>
  </w:style>
  <w:style w:type="paragraph" w:styleId="15">
    <w:name w:val="Body Text Indent"/>
    <w:basedOn w:val="1"/>
    <w:qFormat/>
    <w:uiPriority w:val="0"/>
    <w:pPr>
      <w:widowControl w:val="0"/>
      <w:ind w:firstLine="645"/>
      <w:jc w:val="both"/>
    </w:pPr>
    <w:rPr>
      <w:rFonts w:hint="default" w:ascii="楷体_GB2312" w:hAnsi="Times New Roman" w:eastAsia="楷体_GB2312" w:cs="Times New Roman"/>
      <w:sz w:val="32"/>
      <w:szCs w:val="20"/>
      <w:lang w:val="en-US" w:eastAsia="zh-CN" w:bidi="ar-SA"/>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6"/>
    <w:semiHidden/>
    <w:unhideWhenUsed/>
    <w:qFormat/>
    <w:uiPriority w:val="99"/>
    <w:pPr>
      <w:spacing w:after="0" w:line="240" w:lineRule="auto"/>
    </w:pPr>
    <w:rPr>
      <w:sz w:val="20"/>
    </w:rPr>
  </w:style>
  <w:style w:type="paragraph" w:styleId="20">
    <w:name w:val="footer"/>
    <w:basedOn w:val="1"/>
    <w:link w:val="59"/>
    <w:unhideWhenUsed/>
    <w:qFormat/>
    <w:uiPriority w:val="99"/>
    <w:pPr>
      <w:tabs>
        <w:tab w:val="center" w:pos="7143"/>
        <w:tab w:val="right" w:pos="14287"/>
      </w:tabs>
      <w:spacing w:after="0" w:line="240" w:lineRule="auto"/>
    </w:pPr>
  </w:style>
  <w:style w:type="paragraph" w:styleId="21">
    <w:name w:val="header"/>
    <w:basedOn w:val="1"/>
    <w:link w:val="57"/>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2"/>
    <w:qFormat/>
    <w:uiPriority w:val="11"/>
    <w:pPr>
      <w:spacing w:before="200" w:after="200"/>
    </w:pPr>
    <w:rPr>
      <w:sz w:val="24"/>
      <w:szCs w:val="24"/>
    </w:rPr>
  </w:style>
  <w:style w:type="paragraph" w:styleId="25">
    <w:name w:val="footnote text"/>
    <w:basedOn w:val="1"/>
    <w:link w:val="185"/>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1">
    <w:name w:val="Title"/>
    <w:basedOn w:val="1"/>
    <w:next w:val="1"/>
    <w:link w:val="51"/>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FollowedHyperlink"/>
    <w:basedOn w:val="34"/>
    <w:semiHidden/>
    <w:unhideWhenUsed/>
    <w:qFormat/>
    <w:uiPriority w:val="99"/>
    <w:rPr>
      <w:color w:val="333333"/>
      <w:u w:val="none"/>
    </w:rPr>
  </w:style>
  <w:style w:type="character" w:styleId="37">
    <w:name w:val="Emphasis"/>
    <w:basedOn w:val="34"/>
    <w:qFormat/>
    <w:uiPriority w:val="20"/>
    <w:rPr>
      <w:i/>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31"/>
    <w:qFormat/>
    <w:uiPriority w:val="10"/>
    <w:rPr>
      <w:sz w:val="48"/>
      <w:szCs w:val="48"/>
    </w:rPr>
  </w:style>
  <w:style w:type="character" w:customStyle="1" w:styleId="52">
    <w:name w:val="Subtitle Char"/>
    <w:link w:val="24"/>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1"/>
    <w:qFormat/>
    <w:uiPriority w:val="99"/>
  </w:style>
  <w:style w:type="character" w:customStyle="1" w:styleId="58">
    <w:name w:val="Footer Char"/>
    <w:link w:val="20"/>
    <w:qFormat/>
    <w:uiPriority w:val="99"/>
  </w:style>
  <w:style w:type="character" w:customStyle="1" w:styleId="59">
    <w:name w:val="Caption Char"/>
    <w:link w:val="20"/>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5"/>
    <w:qFormat/>
    <w:uiPriority w:val="99"/>
    <w:rPr>
      <w:sz w:val="18"/>
    </w:rPr>
  </w:style>
  <w:style w:type="character" w:customStyle="1" w:styleId="186">
    <w:name w:val="Endnote Text Char"/>
    <w:link w:val="19"/>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194"/>
    <w:qFormat/>
    <w:uiPriority w:val="9"/>
    <w:pPr>
      <w:keepNext/>
      <w:keepLines/>
      <w:spacing w:before="340" w:after="330" w:line="578" w:lineRule="atLeast"/>
      <w:outlineLvl w:val="0"/>
    </w:pPr>
    <w:rPr>
      <w:b/>
      <w:bCs/>
      <w:sz w:val="44"/>
      <w:szCs w:val="44"/>
    </w:rPr>
  </w:style>
  <w:style w:type="paragraph" w:customStyle="1" w:styleId="189">
    <w:name w:val="标题 21"/>
    <w:basedOn w:val="1"/>
    <w:next w:val="1"/>
    <w:link w:val="195"/>
    <w:qFormat/>
    <w:uiPriority w:val="9"/>
    <w:pPr>
      <w:keepNext/>
      <w:keepLines/>
      <w:spacing w:before="260" w:after="260" w:line="416" w:lineRule="auto"/>
      <w:jc w:val="center"/>
      <w:outlineLvl w:val="1"/>
    </w:pPr>
    <w:rPr>
      <w:rFonts w:ascii="幼圆" w:hAnsi="Arial" w:eastAsia="楷体_GB2312" w:cs="Times New Roman"/>
      <w:b/>
      <w:sz w:val="24"/>
      <w:szCs w:val="20"/>
    </w:rPr>
  </w:style>
  <w:style w:type="paragraph" w:customStyle="1" w:styleId="190">
    <w:name w:val="标题 31"/>
    <w:basedOn w:val="1"/>
    <w:next w:val="1"/>
    <w:link w:val="196"/>
    <w:unhideWhenUsed/>
    <w:qFormat/>
    <w:uiPriority w:val="9"/>
    <w:pPr>
      <w:keepNext/>
      <w:keepLines/>
      <w:spacing w:before="260" w:after="260" w:line="416" w:lineRule="atLeast"/>
      <w:outlineLvl w:val="2"/>
    </w:pPr>
    <w:rPr>
      <w:b/>
      <w:bCs/>
      <w:sz w:val="32"/>
      <w:szCs w:val="32"/>
    </w:rPr>
  </w:style>
  <w:style w:type="paragraph" w:customStyle="1" w:styleId="191">
    <w:name w:val="标题 71"/>
    <w:basedOn w:val="1"/>
    <w:next w:val="1"/>
    <w:link w:val="197"/>
    <w:unhideWhenUsed/>
    <w:qFormat/>
    <w:uiPriority w:val="9"/>
    <w:pPr>
      <w:keepNext/>
      <w:keepLines/>
      <w:spacing w:before="240" w:after="64" w:line="320" w:lineRule="atLeast"/>
      <w:outlineLvl w:val="6"/>
    </w:pPr>
    <w:rPr>
      <w:b/>
      <w:bCs/>
      <w:sz w:val="24"/>
      <w:szCs w:val="24"/>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标题 1 Char"/>
    <w:link w:val="188"/>
    <w:qFormat/>
    <w:uiPriority w:val="9"/>
    <w:rPr>
      <w:b/>
      <w:bCs/>
      <w:sz w:val="44"/>
      <w:szCs w:val="44"/>
    </w:rPr>
  </w:style>
  <w:style w:type="character" w:customStyle="1" w:styleId="195">
    <w:name w:val="标题 2 Char"/>
    <w:link w:val="189"/>
    <w:qFormat/>
    <w:uiPriority w:val="9"/>
    <w:rPr>
      <w:rFonts w:ascii="幼圆" w:hAnsi="Arial" w:eastAsia="楷体_GB2312" w:cs="Times New Roman"/>
      <w:b/>
      <w:sz w:val="24"/>
      <w:szCs w:val="20"/>
    </w:rPr>
  </w:style>
  <w:style w:type="character" w:customStyle="1" w:styleId="196">
    <w:name w:val="标题 3 Char"/>
    <w:link w:val="190"/>
    <w:qFormat/>
    <w:uiPriority w:val="9"/>
    <w:rPr>
      <w:b/>
      <w:bCs/>
      <w:sz w:val="32"/>
      <w:szCs w:val="32"/>
    </w:rPr>
  </w:style>
  <w:style w:type="character" w:customStyle="1" w:styleId="197">
    <w:name w:val="标题 7 Char"/>
    <w:link w:val="191"/>
    <w:semiHidden/>
    <w:qFormat/>
    <w:uiPriority w:val="9"/>
    <w:rPr>
      <w:b/>
      <w:bCs/>
      <w:sz w:val="24"/>
      <w:szCs w:val="24"/>
    </w:rPr>
  </w:style>
  <w:style w:type="paragraph" w:customStyle="1" w:styleId="198">
    <w:name w:val="列表 31"/>
    <w:basedOn w:val="1"/>
    <w:qFormat/>
    <w:uiPriority w:val="0"/>
    <w:pPr>
      <w:spacing w:line="240" w:lineRule="auto"/>
      <w:ind w:left="100" w:hanging="200"/>
    </w:pPr>
    <w:rPr>
      <w:rFonts w:ascii="Times New Roman" w:hAnsi="Times New Roman" w:eastAsia="宋体" w:cs="Times New Roman"/>
      <w:szCs w:val="21"/>
    </w:rPr>
  </w:style>
  <w:style w:type="paragraph" w:customStyle="1" w:styleId="199">
    <w:name w:val="目录 71"/>
    <w:basedOn w:val="1"/>
    <w:next w:val="1"/>
    <w:semiHidden/>
    <w:qFormat/>
    <w:uiPriority w:val="0"/>
    <w:pPr>
      <w:ind w:left="1260"/>
      <w:jc w:val="left"/>
    </w:pPr>
  </w:style>
  <w:style w:type="paragraph" w:customStyle="1" w:styleId="200">
    <w:name w:val="正文缩进1"/>
    <w:basedOn w:val="1"/>
    <w:link w:val="201"/>
    <w:qFormat/>
    <w:uiPriority w:val="0"/>
    <w:pPr>
      <w:spacing w:line="240" w:lineRule="auto"/>
      <w:ind w:firstLine="420"/>
    </w:pPr>
    <w:rPr>
      <w:rFonts w:ascii="Times New Roman" w:hAnsi="Times New Roman" w:eastAsia="宋体" w:cs="Times New Roman"/>
      <w:szCs w:val="20"/>
    </w:rPr>
  </w:style>
  <w:style w:type="character" w:customStyle="1" w:styleId="201">
    <w:name w:val="正文缩进 Char"/>
    <w:link w:val="200"/>
    <w:qFormat/>
    <w:uiPriority w:val="0"/>
    <w:rPr>
      <w:rFonts w:ascii="Times New Roman" w:hAnsi="Times New Roman" w:eastAsia="宋体" w:cs="Times New Roman"/>
      <w:szCs w:val="20"/>
    </w:rPr>
  </w:style>
  <w:style w:type="paragraph" w:customStyle="1" w:styleId="202">
    <w:name w:val="批注文字1"/>
    <w:basedOn w:val="203"/>
    <w:link w:val="204"/>
    <w:unhideWhenUsed/>
    <w:qFormat/>
    <w:uiPriority w:val="99"/>
    <w:pPr>
      <w:spacing w:line="360" w:lineRule="auto"/>
      <w:jc w:val="left"/>
    </w:pPr>
    <w:rPr>
      <w:rFonts w:ascii="Times New Roman" w:hAnsi="Times New Roman"/>
      <w:sz w:val="24"/>
      <w:szCs w:val="24"/>
    </w:rPr>
  </w:style>
  <w:style w:type="paragraph" w:customStyle="1" w:styleId="203">
    <w:name w:val="Normal_13"/>
    <w:qFormat/>
    <w:uiPriority w:val="0"/>
    <w:pPr>
      <w:widowControl w:val="0"/>
      <w:jc w:val="both"/>
    </w:pPr>
    <w:rPr>
      <w:rFonts w:hint="default" w:ascii="Calibri" w:hAnsi="Calibri" w:eastAsia="宋体" w:cs="Times New Roman"/>
      <w:sz w:val="21"/>
      <w:szCs w:val="22"/>
    </w:rPr>
  </w:style>
  <w:style w:type="character" w:customStyle="1" w:styleId="204">
    <w:name w:val="批注文字 Char"/>
    <w:link w:val="202"/>
    <w:qFormat/>
    <w:uiPriority w:val="99"/>
    <w:rPr>
      <w:rFonts w:ascii="Times New Roman" w:hAnsi="Times New Roman"/>
      <w:sz w:val="24"/>
      <w:szCs w:val="24"/>
    </w:rPr>
  </w:style>
  <w:style w:type="paragraph" w:customStyle="1" w:styleId="205">
    <w:name w:val="正文文本1"/>
    <w:basedOn w:val="1"/>
    <w:next w:val="206"/>
    <w:link w:val="207"/>
    <w:qFormat/>
    <w:uiPriority w:val="0"/>
    <w:pPr>
      <w:spacing w:line="240" w:lineRule="auto"/>
    </w:pPr>
    <w:rPr>
      <w:rFonts w:ascii="楷体_GB2312" w:hAnsi="Arial" w:eastAsia="楷体_GB2312" w:cs="Times New Roman"/>
      <w:sz w:val="28"/>
      <w:szCs w:val="20"/>
    </w:rPr>
  </w:style>
  <w:style w:type="paragraph" w:customStyle="1" w:styleId="206">
    <w:name w:val="正文首行缩进1"/>
    <w:basedOn w:val="205"/>
    <w:qFormat/>
    <w:uiPriority w:val="0"/>
    <w:pPr>
      <w:spacing w:line="360" w:lineRule="auto"/>
      <w:ind w:firstLine="200"/>
    </w:pPr>
    <w:rPr>
      <w:rFonts w:ascii="仿宋_GB2312" w:eastAsia="仿宋_GB2312"/>
      <w:sz w:val="30"/>
      <w:szCs w:val="30"/>
    </w:rPr>
  </w:style>
  <w:style w:type="character" w:customStyle="1" w:styleId="207">
    <w:name w:val="正文文本 Char"/>
    <w:link w:val="205"/>
    <w:qFormat/>
    <w:uiPriority w:val="0"/>
    <w:rPr>
      <w:rFonts w:ascii="楷体_GB2312" w:hAnsi="Arial" w:eastAsia="楷体_GB2312" w:cs="Times New Roman"/>
      <w:sz w:val="28"/>
      <w:szCs w:val="20"/>
    </w:rPr>
  </w:style>
  <w:style w:type="paragraph" w:customStyle="1" w:styleId="208">
    <w:name w:val="正文文本缩进1"/>
    <w:basedOn w:val="1"/>
    <w:next w:val="199"/>
    <w:link w:val="209"/>
    <w:unhideWhenUsed/>
    <w:qFormat/>
    <w:uiPriority w:val="99"/>
    <w:pPr>
      <w:spacing w:after="120"/>
      <w:ind w:left="420"/>
    </w:pPr>
  </w:style>
  <w:style w:type="character" w:customStyle="1" w:styleId="209">
    <w:name w:val="正文文本缩进 Char"/>
    <w:basedOn w:val="192"/>
    <w:link w:val="208"/>
    <w:semiHidden/>
    <w:qFormat/>
    <w:uiPriority w:val="99"/>
  </w:style>
  <w:style w:type="paragraph" w:customStyle="1" w:styleId="210">
    <w:name w:val="列表接续1"/>
    <w:basedOn w:val="1"/>
    <w:unhideWhenUsed/>
    <w:qFormat/>
    <w:uiPriority w:val="99"/>
    <w:pPr>
      <w:spacing w:after="120"/>
      <w:ind w:left="420"/>
      <w:contextualSpacing/>
    </w:pPr>
  </w:style>
  <w:style w:type="paragraph" w:customStyle="1" w:styleId="211">
    <w:name w:val="文本块1"/>
    <w:basedOn w:val="1"/>
    <w:qFormat/>
    <w:uiPriority w:val="0"/>
    <w:pPr>
      <w:spacing w:line="240" w:lineRule="auto"/>
      <w:ind w:left="630" w:right="630"/>
      <w:jc w:val="center"/>
    </w:pPr>
    <w:rPr>
      <w:rFonts w:ascii="宋体" w:hAnsi="Times New Roman" w:eastAsia="宋体" w:cs="Times New Roman"/>
      <w:b/>
      <w:sz w:val="32"/>
      <w:szCs w:val="24"/>
    </w:rPr>
  </w:style>
  <w:style w:type="paragraph" w:customStyle="1" w:styleId="212">
    <w:name w:val="目录 31"/>
    <w:basedOn w:val="1"/>
    <w:next w:val="1"/>
    <w:qFormat/>
    <w:uiPriority w:val="39"/>
    <w:pPr>
      <w:spacing w:line="240" w:lineRule="auto"/>
      <w:ind w:left="420"/>
      <w:jc w:val="left"/>
    </w:pPr>
    <w:rPr>
      <w:rFonts w:ascii="Times New Roman" w:hAnsi="Times New Roman" w:eastAsia="宋体" w:cs="Times New Roman"/>
      <w:iCs/>
      <w:szCs w:val="24"/>
    </w:rPr>
  </w:style>
  <w:style w:type="paragraph" w:customStyle="1" w:styleId="213">
    <w:name w:val="纯文本1"/>
    <w:basedOn w:val="1"/>
    <w:link w:val="214"/>
    <w:qFormat/>
    <w:uiPriority w:val="0"/>
    <w:pPr>
      <w:spacing w:line="240" w:lineRule="auto"/>
    </w:pPr>
    <w:rPr>
      <w:rFonts w:ascii="宋体" w:hAnsi="Courier New" w:cs="Courier New"/>
      <w:szCs w:val="21"/>
    </w:rPr>
  </w:style>
  <w:style w:type="character" w:customStyle="1" w:styleId="214">
    <w:name w:val="纯文本 Char1"/>
    <w:link w:val="213"/>
    <w:qFormat/>
    <w:uiPriority w:val="0"/>
    <w:rPr>
      <w:rFonts w:ascii="宋体" w:hAnsi="Courier New" w:cs="Courier New"/>
      <w:szCs w:val="21"/>
    </w:rPr>
  </w:style>
  <w:style w:type="paragraph" w:customStyle="1" w:styleId="215">
    <w:name w:val="日期1"/>
    <w:basedOn w:val="1"/>
    <w:next w:val="1"/>
    <w:link w:val="216"/>
    <w:qFormat/>
    <w:uiPriority w:val="0"/>
    <w:pPr>
      <w:spacing w:line="240" w:lineRule="auto"/>
      <w:ind w:left="100"/>
    </w:pPr>
    <w:rPr>
      <w:rFonts w:ascii="仿宋_GB2312" w:hAnsi="Times New Roman" w:eastAsia="仿宋_GB2312" w:cs="Times New Roman"/>
      <w:b/>
      <w:sz w:val="36"/>
      <w:szCs w:val="24"/>
    </w:rPr>
  </w:style>
  <w:style w:type="character" w:customStyle="1" w:styleId="216">
    <w:name w:val="日期 Char"/>
    <w:link w:val="215"/>
    <w:qFormat/>
    <w:uiPriority w:val="0"/>
    <w:rPr>
      <w:rFonts w:ascii="仿宋_GB2312" w:hAnsi="Times New Roman" w:eastAsia="仿宋_GB2312" w:cs="Times New Roman"/>
      <w:b/>
      <w:sz w:val="36"/>
      <w:szCs w:val="24"/>
    </w:rPr>
  </w:style>
  <w:style w:type="paragraph" w:customStyle="1" w:styleId="217">
    <w:name w:val="批注框文本1"/>
    <w:basedOn w:val="1"/>
    <w:link w:val="218"/>
    <w:unhideWhenUsed/>
    <w:qFormat/>
    <w:uiPriority w:val="99"/>
    <w:pPr>
      <w:spacing w:line="240" w:lineRule="auto"/>
    </w:pPr>
    <w:rPr>
      <w:sz w:val="18"/>
      <w:szCs w:val="18"/>
    </w:rPr>
  </w:style>
  <w:style w:type="character" w:customStyle="1" w:styleId="218">
    <w:name w:val="批注框文本 Char"/>
    <w:link w:val="217"/>
    <w:semiHidden/>
    <w:qFormat/>
    <w:uiPriority w:val="99"/>
    <w:rPr>
      <w:sz w:val="18"/>
      <w:szCs w:val="18"/>
    </w:rPr>
  </w:style>
  <w:style w:type="paragraph" w:customStyle="1" w:styleId="219">
    <w:name w:val="页脚1"/>
    <w:basedOn w:val="1"/>
    <w:link w:val="220"/>
    <w:unhideWhenUsed/>
    <w:qFormat/>
    <w:uiPriority w:val="99"/>
    <w:pPr>
      <w:tabs>
        <w:tab w:val="center" w:pos="4153"/>
        <w:tab w:val="right" w:pos="8306"/>
      </w:tabs>
      <w:spacing w:line="240" w:lineRule="atLeast"/>
      <w:jc w:val="left"/>
    </w:pPr>
    <w:rPr>
      <w:sz w:val="18"/>
      <w:szCs w:val="18"/>
    </w:rPr>
  </w:style>
  <w:style w:type="character" w:customStyle="1" w:styleId="220">
    <w:name w:val="页脚 Char"/>
    <w:link w:val="219"/>
    <w:qFormat/>
    <w:uiPriority w:val="99"/>
    <w:rPr>
      <w:sz w:val="18"/>
      <w:szCs w:val="18"/>
    </w:rPr>
  </w:style>
  <w:style w:type="paragraph" w:customStyle="1" w:styleId="221">
    <w:name w:val="页眉1"/>
    <w:basedOn w:val="1"/>
    <w:link w:val="222"/>
    <w:unhideWhenUsed/>
    <w:qFormat/>
    <w:uiPriority w:val="99"/>
    <w:pPr>
      <w:pBdr>
        <w:bottom w:val="single" w:color="000000" w:sz="6" w:space="1"/>
      </w:pBdr>
      <w:tabs>
        <w:tab w:val="center" w:pos="4153"/>
        <w:tab w:val="right" w:pos="8306"/>
      </w:tabs>
      <w:spacing w:line="240" w:lineRule="atLeast"/>
      <w:jc w:val="center"/>
    </w:pPr>
    <w:rPr>
      <w:sz w:val="18"/>
      <w:szCs w:val="18"/>
    </w:rPr>
  </w:style>
  <w:style w:type="character" w:customStyle="1" w:styleId="222">
    <w:name w:val="页眉 Char"/>
    <w:link w:val="221"/>
    <w:qFormat/>
    <w:uiPriority w:val="99"/>
    <w:rPr>
      <w:sz w:val="18"/>
      <w:szCs w:val="18"/>
    </w:rPr>
  </w:style>
  <w:style w:type="paragraph" w:customStyle="1" w:styleId="223">
    <w:name w:val="目录 11"/>
    <w:basedOn w:val="1"/>
    <w:next w:val="1"/>
    <w:qFormat/>
    <w:uiPriority w:val="39"/>
    <w:pPr>
      <w:spacing w:before="120" w:after="120"/>
      <w:jc w:val="left"/>
    </w:pPr>
    <w:rPr>
      <w:rFonts w:ascii="楷体_GB2312" w:hAnsi="Times New Roman" w:eastAsia="宋体" w:cs="Times New Roman"/>
      <w:b/>
      <w:bCs/>
      <w:caps/>
      <w:sz w:val="44"/>
      <w:szCs w:val="44"/>
    </w:rPr>
  </w:style>
  <w:style w:type="paragraph" w:customStyle="1" w:styleId="224">
    <w:name w:val="副标题1"/>
    <w:basedOn w:val="1"/>
    <w:next w:val="1"/>
    <w:qFormat/>
    <w:uiPriority w:val="0"/>
    <w:pPr>
      <w:spacing w:line="400" w:lineRule="exact"/>
      <w:ind w:firstLine="200"/>
      <w:jc w:val="left"/>
      <w:outlineLvl w:val="1"/>
    </w:pPr>
    <w:rPr>
      <w:rFonts w:ascii="Cambria" w:hAnsi="Cambria" w:eastAsia="黑体"/>
      <w:b/>
      <w:bCs/>
      <w:szCs w:val="32"/>
    </w:rPr>
  </w:style>
  <w:style w:type="paragraph" w:customStyle="1" w:styleId="225">
    <w:name w:val="正文文本缩进 31"/>
    <w:basedOn w:val="1"/>
    <w:link w:val="226"/>
    <w:unhideWhenUsed/>
    <w:qFormat/>
    <w:uiPriority w:val="99"/>
    <w:pPr>
      <w:spacing w:after="120"/>
      <w:ind w:left="420"/>
    </w:pPr>
    <w:rPr>
      <w:sz w:val="16"/>
      <w:szCs w:val="16"/>
    </w:rPr>
  </w:style>
  <w:style w:type="character" w:customStyle="1" w:styleId="226">
    <w:name w:val="正文文本缩进 3 Char"/>
    <w:link w:val="225"/>
    <w:semiHidden/>
    <w:qFormat/>
    <w:uiPriority w:val="99"/>
    <w:rPr>
      <w:sz w:val="16"/>
      <w:szCs w:val="16"/>
    </w:rPr>
  </w:style>
  <w:style w:type="paragraph" w:customStyle="1" w:styleId="227">
    <w:name w:val="目录 21"/>
    <w:basedOn w:val="1"/>
    <w:next w:val="1"/>
    <w:unhideWhenUsed/>
    <w:qFormat/>
    <w:uiPriority w:val="39"/>
    <w:pPr>
      <w:ind w:left="200"/>
    </w:pPr>
  </w:style>
  <w:style w:type="paragraph" w:customStyle="1" w:styleId="228">
    <w:name w:val="普通(网站)1"/>
    <w:basedOn w:val="1"/>
    <w:link w:val="229"/>
    <w:qFormat/>
    <w:uiPriority w:val="0"/>
    <w:pPr>
      <w:widowControl/>
      <w:spacing w:before="100" w:beforeAutospacing="1" w:after="100" w:afterAutospacing="1" w:line="240" w:lineRule="auto"/>
      <w:jc w:val="left"/>
    </w:pPr>
    <w:rPr>
      <w:rFonts w:ascii="宋体" w:hAnsi="宋体" w:eastAsia="宋体" w:cs="宋体"/>
      <w:color w:val="000000"/>
      <w:sz w:val="24"/>
      <w:szCs w:val="24"/>
    </w:rPr>
  </w:style>
  <w:style w:type="character" w:customStyle="1" w:styleId="229">
    <w:name w:val="普通(网站) Char"/>
    <w:link w:val="228"/>
    <w:qFormat/>
    <w:uiPriority w:val="0"/>
    <w:rPr>
      <w:rFonts w:ascii="宋体" w:hAnsi="宋体" w:eastAsia="宋体" w:cs="宋体"/>
      <w:color w:val="000000"/>
      <w:sz w:val="24"/>
      <w:szCs w:val="24"/>
    </w:rPr>
  </w:style>
  <w:style w:type="table" w:customStyle="1" w:styleId="230">
    <w:name w:val="网格型1"/>
    <w:basedOn w:val="193"/>
    <w:qFormat/>
    <w:uiPriority w:val="59"/>
    <w:pPr>
      <w:spacing w:line="240" w:lineRule="auto"/>
    </w:pPr>
  </w:style>
  <w:style w:type="character" w:customStyle="1" w:styleId="231">
    <w:name w:val="页码1"/>
    <w:basedOn w:val="192"/>
    <w:link w:val="1"/>
    <w:qFormat/>
    <w:uiPriority w:val="0"/>
  </w:style>
  <w:style w:type="character" w:customStyle="1" w:styleId="232">
    <w:name w:val="超链接1"/>
    <w:link w:val="1"/>
    <w:qFormat/>
    <w:uiPriority w:val="99"/>
    <w:rPr>
      <w:color w:val="0000FF"/>
      <w:u w:val="single"/>
    </w:rPr>
  </w:style>
  <w:style w:type="character" w:customStyle="1" w:styleId="233">
    <w:name w:val="默认段落字体11"/>
    <w:link w:val="1"/>
    <w:unhideWhenUsed/>
    <w:qFormat/>
    <w:uiPriority w:val="1"/>
    <w:rPr>
      <w:sz w:val="21"/>
      <w:szCs w:val="22"/>
      <w:lang w:val="en-US" w:eastAsia="zh-CN" w:bidi="ar-SA"/>
    </w:rPr>
  </w:style>
  <w:style w:type="paragraph" w:customStyle="1" w:styleId="234">
    <w:name w:val="列出段落"/>
    <w:basedOn w:val="1"/>
    <w:qFormat/>
    <w:uiPriority w:val="34"/>
    <w:pPr>
      <w:spacing w:line="240" w:lineRule="auto"/>
      <w:ind w:firstLine="420"/>
    </w:pPr>
    <w:rPr>
      <w:rFonts w:ascii="等线" w:hAnsi="等线" w:eastAsia="等线" w:cs="宋体"/>
    </w:rPr>
  </w:style>
  <w:style w:type="character" w:customStyle="1" w:styleId="235">
    <w:name w:val="htd0"/>
    <w:basedOn w:val="192"/>
    <w:link w:val="1"/>
    <w:qFormat/>
    <w:uiPriority w:val="0"/>
  </w:style>
  <w:style w:type="paragraph" w:customStyle="1" w:styleId="236">
    <w:name w:val="附录1"/>
    <w:qFormat/>
    <w:uiPriority w:val="0"/>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customStyle="1" w:styleId="237">
    <w:name w:val="正文缩进 Char3"/>
    <w:link w:val="1"/>
    <w:qFormat/>
    <w:uiPriority w:val="0"/>
    <w:rPr>
      <w:rFonts w:ascii="Times New Roman" w:hAnsi="Times New Roman" w:eastAsia="宋体" w:cs="Times New Roman"/>
      <w:szCs w:val="24"/>
    </w:rPr>
  </w:style>
  <w:style w:type="character" w:customStyle="1" w:styleId="238">
    <w:name w:val="纯文本 Char"/>
    <w:link w:val="1"/>
    <w:semiHidden/>
    <w:qFormat/>
    <w:uiPriority w:val="99"/>
    <w:rPr>
      <w:rFonts w:ascii="宋体" w:hAnsi="Courier New" w:eastAsia="宋体" w:cs="Courier New"/>
      <w:szCs w:val="21"/>
    </w:rPr>
  </w:style>
  <w:style w:type="paragraph" w:customStyle="1" w:styleId="239">
    <w:name w:val="Andy_正文格式"/>
    <w:basedOn w:val="1"/>
    <w:qFormat/>
    <w:uiPriority w:val="0"/>
    <w:pPr>
      <w:spacing w:line="240" w:lineRule="auto"/>
      <w:ind w:firstLine="560"/>
      <w:jc w:val="left"/>
    </w:pPr>
    <w:rPr>
      <w:rFonts w:ascii="仿宋_GB2312" w:hAnsi="Times New Roman" w:eastAsia="仿宋_GB2312" w:cs="Times New Roman"/>
      <w:sz w:val="28"/>
      <w:szCs w:val="28"/>
    </w:rPr>
  </w:style>
  <w:style w:type="character" w:customStyle="1" w:styleId="240">
    <w:name w:val="p141"/>
    <w:link w:val="1"/>
    <w:qFormat/>
    <w:uiPriority w:val="0"/>
    <w:rPr>
      <w:rFonts w:ascii="Calibri" w:hAnsi="Calibri" w:eastAsia="宋体" w:cs="宋体"/>
      <w:sz w:val="21"/>
      <w:szCs w:val="21"/>
      <w:lang w:val="en-US" w:eastAsia="zh-CN" w:bidi="ar-SA"/>
    </w:rPr>
  </w:style>
  <w:style w:type="paragraph" w:customStyle="1" w:styleId="241">
    <w:name w:val="样式 宋体 五号 两端对齐 行距: 单倍行距"/>
    <w:basedOn w:val="1"/>
    <w:qFormat/>
    <w:uiPriority w:val="0"/>
    <w:pPr>
      <w:numPr>
        <w:ilvl w:val="0"/>
        <w:numId w:val="2"/>
      </w:numPr>
      <w:spacing w:line="240" w:lineRule="auto"/>
      <w:ind w:left="0" w:firstLine="0"/>
    </w:pPr>
    <w:rPr>
      <w:rFonts w:ascii="宋体" w:hAnsi="宋体" w:eastAsia="宋体" w:cs="宋体"/>
      <w:szCs w:val="20"/>
    </w:rPr>
  </w:style>
  <w:style w:type="paragraph" w:customStyle="1" w:styleId="242">
    <w:name w:val="样式1"/>
    <w:basedOn w:val="1"/>
    <w:qFormat/>
    <w:uiPriority w:val="0"/>
    <w:pPr>
      <w:numPr>
        <w:ilvl w:val="1"/>
        <w:numId w:val="3"/>
      </w:numPr>
      <w:spacing w:line="240" w:lineRule="auto"/>
    </w:pPr>
    <w:rPr>
      <w:rFonts w:ascii="宋体" w:hAnsi="宋体" w:eastAsia="宋体" w:cs="Times New Roman"/>
      <w:szCs w:val="21"/>
    </w:rPr>
  </w:style>
  <w:style w:type="paragraph" w:customStyle="1" w:styleId="243">
    <w:name w:val="Char"/>
    <w:basedOn w:val="1"/>
    <w:qFormat/>
    <w:uiPriority w:val="0"/>
    <w:pPr>
      <w:tabs>
        <w:tab w:val="left" w:pos="360"/>
      </w:tabs>
      <w:spacing w:line="240" w:lineRule="auto"/>
      <w:ind w:firstLine="200"/>
    </w:pPr>
    <w:rPr>
      <w:rFonts w:ascii="Times New Roman" w:hAnsi="Times New Roman" w:eastAsia="宋体" w:cs="Times New Roman"/>
      <w:sz w:val="28"/>
      <w:szCs w:val="30"/>
    </w:rPr>
  </w:style>
  <w:style w:type="paragraph" w:customStyle="1" w:styleId="244">
    <w:name w:val="列出段落3"/>
    <w:basedOn w:val="1"/>
    <w:qFormat/>
    <w:uiPriority w:val="99"/>
    <w:pPr>
      <w:spacing w:line="240" w:lineRule="auto"/>
      <w:ind w:firstLine="420"/>
    </w:pPr>
    <w:rPr>
      <w:rFonts w:ascii="Calibri" w:hAnsi="Calibri" w:eastAsia="宋体" w:cs="Times New Roman"/>
    </w:rPr>
  </w:style>
  <w:style w:type="paragraph" w:customStyle="1" w:styleId="245">
    <w:name w:val="列出段落1"/>
    <w:basedOn w:val="1"/>
    <w:qFormat/>
    <w:uiPriority w:val="0"/>
    <w:pPr>
      <w:spacing w:line="240" w:lineRule="auto"/>
      <w:ind w:firstLine="420"/>
    </w:pPr>
    <w:rPr>
      <w:rFonts w:ascii="Times New Roman" w:hAnsi="Times New Roman" w:eastAsia="宋体" w:cs="Times New Roman"/>
      <w:szCs w:val="24"/>
    </w:rPr>
  </w:style>
  <w:style w:type="paragraph" w:customStyle="1" w:styleId="246">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7">
    <w:name w:val="TOC 标题1"/>
    <w:basedOn w:val="188"/>
    <w:next w:val="1"/>
    <w:unhideWhenUsed/>
    <w:qFormat/>
    <w:uiPriority w:val="39"/>
    <w:pPr>
      <w:widowControl/>
      <w:spacing w:before="240" w:after="0" w:line="259" w:lineRule="auto"/>
      <w:jc w:val="left"/>
      <w:outlineLvl w:val="9"/>
    </w:pPr>
    <w:rPr>
      <w:rFonts w:ascii="Cambria" w:hAnsi="Cambria" w:eastAsia="宋体" w:cs="Times New Roman"/>
      <w:b w:val="0"/>
      <w:bCs w:val="0"/>
      <w:color w:val="365F91"/>
      <w:sz w:val="32"/>
      <w:szCs w:val="32"/>
    </w:rPr>
  </w:style>
  <w:style w:type="paragraph" w:customStyle="1" w:styleId="248">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49">
    <w:name w:val="正文文本缩进_0"/>
    <w:basedOn w:val="248"/>
    <w:unhideWhenUsed/>
    <w:qFormat/>
    <w:uiPriority w:val="99"/>
    <w:pPr>
      <w:spacing w:after="120"/>
      <w:ind w:left="420"/>
    </w:pPr>
  </w:style>
  <w:style w:type="paragraph" w:customStyle="1" w:styleId="250">
    <w:name w:val="正文_1"/>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251">
    <w:name w:val="titlebody"/>
    <w:basedOn w:val="34"/>
    <w:link w:val="1"/>
    <w:qFormat/>
    <w:uiPriority w:val="0"/>
    <w:rPr>
      <w:rFonts w:ascii="宋体" w:hAnsi="宋体" w:eastAsia="宋体" w:cs="宋体"/>
      <w:b/>
      <w:bCs/>
      <w:color w:val="000000"/>
      <w:sz w:val="24"/>
      <w:szCs w:val="24"/>
    </w:rPr>
  </w:style>
  <w:style w:type="paragraph" w:customStyle="1" w:styleId="252">
    <w:name w:val="Normal_0"/>
    <w:qFormat/>
    <w:uiPriority w:val="0"/>
    <w:rPr>
      <w:rFonts w:hint="default" w:ascii="Times New Roman" w:hAnsi="Times New Roman" w:eastAsia="Times New Roman" w:cs="Times New Roman"/>
      <w:sz w:val="24"/>
      <w:szCs w:val="24"/>
    </w:rPr>
  </w:style>
  <w:style w:type="paragraph" w:customStyle="1" w:styleId="253">
    <w:name w:val="Normal_1"/>
    <w:qFormat/>
    <w:uiPriority w:val="0"/>
    <w:rPr>
      <w:rFonts w:hint="default" w:ascii="Times New Roman" w:hAnsi="Times New Roman" w:eastAsia="Times New Roman" w:cs="Times New Roman"/>
      <w:sz w:val="24"/>
      <w:szCs w:val="24"/>
    </w:rPr>
  </w:style>
  <w:style w:type="paragraph" w:customStyle="1" w:styleId="254">
    <w:name w:val="Normal_2"/>
    <w:qFormat/>
    <w:uiPriority w:val="0"/>
    <w:rPr>
      <w:rFonts w:hint="default" w:ascii="Times New Roman" w:hAnsi="Times New Roman" w:eastAsia="Times New Roman" w:cs="Times New Roman"/>
      <w:sz w:val="24"/>
      <w:szCs w:val="24"/>
    </w:rPr>
  </w:style>
  <w:style w:type="paragraph" w:customStyle="1" w:styleId="255">
    <w:name w:val="Normal_3"/>
    <w:qFormat/>
    <w:uiPriority w:val="0"/>
    <w:rPr>
      <w:rFonts w:hint="default" w:ascii="Times New Roman" w:hAnsi="Times New Roman" w:eastAsia="Times New Roman" w:cs="Times New Roman"/>
      <w:sz w:val="24"/>
      <w:szCs w:val="24"/>
    </w:rPr>
  </w:style>
  <w:style w:type="paragraph" w:customStyle="1" w:styleId="256">
    <w:name w:val="Normal_4"/>
    <w:qFormat/>
    <w:uiPriority w:val="0"/>
    <w:rPr>
      <w:rFonts w:hint="default" w:ascii="Times New Roman" w:hAnsi="Times New Roman" w:eastAsia="Times New Roman" w:cs="Times New Roman"/>
      <w:sz w:val="24"/>
      <w:szCs w:val="24"/>
    </w:rPr>
  </w:style>
  <w:style w:type="paragraph" w:customStyle="1" w:styleId="257">
    <w:name w:val="Normal_5"/>
    <w:qFormat/>
    <w:uiPriority w:val="0"/>
    <w:rPr>
      <w:rFonts w:hint="default" w:ascii="Times New Roman" w:hAnsi="Times New Roman" w:eastAsia="Times New Roman" w:cs="Times New Roman"/>
      <w:sz w:val="24"/>
      <w:szCs w:val="24"/>
    </w:rPr>
  </w:style>
  <w:style w:type="paragraph" w:customStyle="1" w:styleId="258">
    <w:name w:val="Normal_6"/>
    <w:qFormat/>
    <w:uiPriority w:val="0"/>
    <w:rPr>
      <w:rFonts w:hint="default" w:ascii="Times New Roman" w:hAnsi="Times New Roman" w:eastAsia="Times New Roman" w:cs="Times New Roman"/>
      <w:sz w:val="24"/>
      <w:szCs w:val="24"/>
    </w:rPr>
  </w:style>
  <w:style w:type="paragraph" w:customStyle="1" w:styleId="259">
    <w:name w:val="Normal_0_0"/>
    <w:qFormat/>
    <w:uiPriority w:val="0"/>
    <w:rPr>
      <w:rFonts w:hint="default" w:ascii="Times New Roman" w:hAnsi="Times New Roman" w:eastAsia="Times New Roman" w:cs="Times New Roman"/>
      <w:sz w:val="24"/>
      <w:szCs w:val="24"/>
    </w:rPr>
  </w:style>
  <w:style w:type="paragraph" w:customStyle="1" w:styleId="260">
    <w:name w:val="Normal_1_0"/>
    <w:qFormat/>
    <w:uiPriority w:val="0"/>
    <w:rPr>
      <w:rFonts w:hint="default" w:ascii="Times New Roman" w:hAnsi="Times New Roman" w:eastAsia="Times New Roman" w:cs="Times New Roman"/>
      <w:sz w:val="24"/>
      <w:szCs w:val="24"/>
    </w:rPr>
  </w:style>
  <w:style w:type="paragraph" w:customStyle="1" w:styleId="261">
    <w:name w:val="Normal_2_0"/>
    <w:qFormat/>
    <w:uiPriority w:val="0"/>
    <w:rPr>
      <w:rFonts w:hint="default" w:ascii="Times New Roman" w:hAnsi="Times New Roman" w:eastAsia="Times New Roman" w:cs="Times New Roman"/>
      <w:sz w:val="24"/>
      <w:szCs w:val="24"/>
    </w:rPr>
  </w:style>
  <w:style w:type="paragraph" w:customStyle="1" w:styleId="262">
    <w:name w:val="Normal_3_0"/>
    <w:qFormat/>
    <w:uiPriority w:val="0"/>
    <w:rPr>
      <w:rFonts w:hint="default" w:ascii="Times New Roman" w:hAnsi="Times New Roman" w:eastAsia="Times New Roman" w:cs="Times New Roman"/>
      <w:sz w:val="24"/>
      <w:szCs w:val="24"/>
    </w:rPr>
  </w:style>
  <w:style w:type="paragraph" w:customStyle="1" w:styleId="263">
    <w:name w:val="Normal_4_0"/>
    <w:qFormat/>
    <w:uiPriority w:val="0"/>
    <w:rPr>
      <w:rFonts w:hint="default" w:ascii="Times New Roman" w:hAnsi="Times New Roman" w:eastAsia="Times New Roman" w:cs="Times New Roman"/>
      <w:sz w:val="24"/>
      <w:szCs w:val="24"/>
    </w:rPr>
  </w:style>
  <w:style w:type="paragraph" w:customStyle="1" w:styleId="264">
    <w:name w:val="Normal_5_0"/>
    <w:qFormat/>
    <w:uiPriority w:val="0"/>
    <w:rPr>
      <w:rFonts w:hint="default" w:ascii="Times New Roman" w:hAnsi="Times New Roman" w:eastAsia="Times New Roman" w:cs="Times New Roman"/>
      <w:sz w:val="24"/>
      <w:szCs w:val="24"/>
    </w:rPr>
  </w:style>
  <w:style w:type="paragraph" w:customStyle="1" w:styleId="265">
    <w:name w:val="Normal_6_0"/>
    <w:qFormat/>
    <w:uiPriority w:val="0"/>
    <w:rPr>
      <w:rFonts w:hint="default" w:ascii="Times New Roman" w:hAnsi="Times New Roman" w:eastAsia="Times New Roman" w:cs="Times New Roman"/>
      <w:sz w:val="24"/>
      <w:szCs w:val="24"/>
    </w:rPr>
  </w:style>
  <w:style w:type="paragraph" w:customStyle="1" w:styleId="266">
    <w:name w:val="正文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7">
    <w:name w:val="Normal_7"/>
    <w:qFormat/>
    <w:uiPriority w:val="0"/>
    <w:rPr>
      <w:rFonts w:hint="default" w:ascii="Times New Roman" w:hAnsi="Times New Roman" w:eastAsia="Times New Roman" w:cs="Times New Roman"/>
      <w:sz w:val="24"/>
      <w:szCs w:val="24"/>
    </w:rPr>
  </w:style>
  <w:style w:type="paragraph" w:customStyle="1" w:styleId="268">
    <w:name w:val="Normal_8"/>
    <w:qFormat/>
    <w:uiPriority w:val="0"/>
    <w:rPr>
      <w:rFonts w:hint="default" w:ascii="Times New Roman" w:hAnsi="Times New Roman" w:eastAsia="Times New Roman" w:cs="Times New Roman"/>
      <w:sz w:val="24"/>
      <w:szCs w:val="24"/>
    </w:rPr>
  </w:style>
  <w:style w:type="paragraph" w:customStyle="1" w:styleId="269">
    <w:name w:val="Normal_9"/>
    <w:qFormat/>
    <w:uiPriority w:val="0"/>
    <w:rPr>
      <w:rFonts w:hint="default" w:ascii="Times New Roman" w:hAnsi="Times New Roman" w:eastAsia="Times New Roman" w:cs="Times New Roman"/>
      <w:sz w:val="24"/>
      <w:szCs w:val="24"/>
    </w:rPr>
  </w:style>
  <w:style w:type="paragraph" w:customStyle="1" w:styleId="270">
    <w:name w:val="Normal_10"/>
    <w:qFormat/>
    <w:uiPriority w:val="0"/>
    <w:rPr>
      <w:rFonts w:hint="default" w:ascii="Times New Roman" w:hAnsi="Times New Roman" w:eastAsia="Times New Roman" w:cs="Times New Roman"/>
      <w:sz w:val="24"/>
      <w:szCs w:val="24"/>
    </w:rPr>
  </w:style>
  <w:style w:type="paragraph" w:customStyle="1" w:styleId="271">
    <w:name w:val="Normal_11"/>
    <w:qFormat/>
    <w:uiPriority w:val="0"/>
    <w:rPr>
      <w:rFonts w:hint="default" w:ascii="Times New Roman" w:hAnsi="Times New Roman" w:eastAsia="Times New Roman" w:cs="Times New Roman"/>
      <w:sz w:val="24"/>
      <w:szCs w:val="24"/>
    </w:rPr>
  </w:style>
  <w:style w:type="paragraph" w:customStyle="1" w:styleId="272">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3">
    <w:name w:val="Normal_12"/>
    <w:qFormat/>
    <w:uiPriority w:val="0"/>
    <w:rPr>
      <w:rFonts w:hint="default" w:ascii="Times New Roman" w:hAnsi="Times New Roman" w:eastAsia="Times New Roman" w:cs="Times New Roman"/>
      <w:sz w:val="24"/>
      <w:szCs w:val="24"/>
    </w:rPr>
  </w:style>
  <w:style w:type="paragraph" w:customStyle="1" w:styleId="274">
    <w:name w:val="Normal_14"/>
    <w:qFormat/>
    <w:uiPriority w:val="0"/>
    <w:rPr>
      <w:rFonts w:hint="default" w:ascii="Times New Roman" w:hAnsi="Times New Roman" w:eastAsia="Times New Roman" w:cs="Times New Roman"/>
      <w:sz w:val="24"/>
      <w:szCs w:val="24"/>
    </w:rPr>
  </w:style>
  <w:style w:type="paragraph" w:customStyle="1" w:styleId="275">
    <w:name w:val="正文_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6">
    <w:name w:val="Normal_15"/>
    <w:qFormat/>
    <w:uiPriority w:val="0"/>
    <w:rPr>
      <w:rFonts w:hint="default" w:ascii="Times New Roman" w:hAnsi="Times New Roman" w:eastAsia="Times New Roman" w:cs="Times New Roman"/>
      <w:sz w:val="24"/>
      <w:szCs w:val="24"/>
    </w:rPr>
  </w:style>
  <w:style w:type="paragraph" w:customStyle="1" w:styleId="277">
    <w:name w:val="Normal_16"/>
    <w:qFormat/>
    <w:uiPriority w:val="0"/>
    <w:rPr>
      <w:rFonts w:hint="default" w:ascii="Times New Roman" w:hAnsi="Times New Roman" w:eastAsia="Times New Roman" w:cs="Times New Roman"/>
      <w:sz w:val="24"/>
      <w:szCs w:val="24"/>
    </w:rPr>
  </w:style>
  <w:style w:type="paragraph" w:customStyle="1" w:styleId="278">
    <w:name w:val="Normal_17"/>
    <w:qFormat/>
    <w:uiPriority w:val="0"/>
    <w:rPr>
      <w:rFonts w:hint="default" w:ascii="Times New Roman" w:hAnsi="Times New Roman" w:eastAsia="Times New Roman" w:cs="Times New Roman"/>
      <w:sz w:val="24"/>
      <w:szCs w:val="24"/>
    </w:rPr>
  </w:style>
  <w:style w:type="paragraph" w:customStyle="1" w:styleId="279">
    <w:name w:val="Normal_18"/>
    <w:qFormat/>
    <w:uiPriority w:val="0"/>
    <w:rPr>
      <w:rFonts w:hint="default" w:ascii="Times New Roman" w:hAnsi="Times New Roman" w:eastAsia="Times New Roman" w:cs="Times New Roman"/>
      <w:sz w:val="24"/>
      <w:szCs w:val="24"/>
    </w:rPr>
  </w:style>
  <w:style w:type="paragraph" w:customStyle="1" w:styleId="280">
    <w:name w:val="正文_8"/>
    <w:next w:val="28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1">
    <w:name w:val="正文1_0"/>
    <w:basedOn w:val="282"/>
    <w:next w:val="283"/>
    <w:qFormat/>
    <w:uiPriority w:val="0"/>
    <w:pPr>
      <w:spacing w:line="360" w:lineRule="auto"/>
      <w:ind w:firstLine="482"/>
    </w:pPr>
    <w:rPr>
      <w:sz w:val="24"/>
    </w:rPr>
  </w:style>
  <w:style w:type="paragraph" w:customStyle="1" w:styleId="282">
    <w:name w:val="正文111_0"/>
    <w:next w:val="28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83">
    <w:name w:val="正文文本1_1"/>
    <w:next w:val="284"/>
    <w:qFormat/>
    <w:uiPriority w:val="0"/>
    <w:pPr>
      <w:keepLines/>
      <w:spacing w:after="120" w:line="220" w:lineRule="atLeast"/>
    </w:pPr>
    <w:rPr>
      <w:rFonts w:hint="default" w:ascii="宋体" w:hAnsi="Times New Roman" w:eastAsia="宋体" w:cs="Times New Roman"/>
      <w:lang w:val="en-GB" w:eastAsia="zh-CN" w:bidi="ar-SA"/>
    </w:rPr>
  </w:style>
  <w:style w:type="paragraph" w:customStyle="1" w:styleId="284">
    <w:name w:val="一级条标题_1"/>
    <w:basedOn w:val="285"/>
    <w:next w:val="28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85">
    <w:name w:val="章标题_1"/>
    <w:next w:val="28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86">
    <w:name w:val="段_1"/>
    <w:basedOn w:val="287"/>
    <w:next w:val="281"/>
    <w:qFormat/>
    <w:uiPriority w:val="0"/>
    <w:pPr>
      <w:widowControl/>
      <w:ind w:firstLine="200"/>
    </w:pPr>
    <w:rPr>
      <w:rFonts w:hint="eastAsia" w:ascii="宋体"/>
      <w:sz w:val="20"/>
      <w:szCs w:val="20"/>
    </w:rPr>
  </w:style>
  <w:style w:type="paragraph" w:customStyle="1" w:styleId="287">
    <w:name w:val="正文_8_0"/>
    <w:next w:val="281"/>
    <w:qFormat/>
    <w:uiPriority w:val="0"/>
    <w:rPr>
      <w:rFonts w:hint="default" w:ascii="Times New Roman" w:hAnsi="Times New Roman" w:eastAsia="宋体" w:cs="Times New Roman"/>
      <w:sz w:val="24"/>
      <w:szCs w:val="24"/>
      <w:lang w:val="en-US" w:eastAsia="zh-CN" w:bidi="ar-SA"/>
    </w:rPr>
  </w:style>
  <w:style w:type="paragraph" w:customStyle="1" w:styleId="288">
    <w:name w:val="Normal_19"/>
    <w:qFormat/>
    <w:uiPriority w:val="0"/>
    <w:rPr>
      <w:rFonts w:hint="default" w:ascii="Times New Roman" w:hAnsi="Times New Roman" w:eastAsia="Times New Roman" w:cs="Times New Roman"/>
      <w:sz w:val="24"/>
      <w:szCs w:val="24"/>
    </w:rPr>
  </w:style>
  <w:style w:type="paragraph" w:customStyle="1" w:styleId="289">
    <w:name w:val="正文_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0">
    <w:name w:val="Normal_20"/>
    <w:qFormat/>
    <w:uiPriority w:val="0"/>
    <w:rPr>
      <w:rFonts w:hint="default" w:ascii="Times New Roman" w:hAnsi="Times New Roman" w:eastAsia="Times New Roman" w:cs="Times New Roman"/>
      <w:sz w:val="24"/>
      <w:szCs w:val="24"/>
    </w:rPr>
  </w:style>
  <w:style w:type="paragraph" w:customStyle="1" w:styleId="291">
    <w:name w:val="正文_1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2">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3">
    <w:name w:val="Normal_21"/>
    <w:qFormat/>
    <w:uiPriority w:val="0"/>
    <w:rPr>
      <w:rFonts w:hint="default" w:ascii="Times New Roman" w:hAnsi="Times New Roman" w:eastAsia="Times New Roman" w:cs="Times New Roman"/>
      <w:sz w:val="24"/>
      <w:szCs w:val="24"/>
    </w:rPr>
  </w:style>
  <w:style w:type="paragraph" w:customStyle="1" w:styleId="294">
    <w:name w:val="正文_1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5">
    <w:name w:val="正文_1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6">
    <w:name w:val="Normal_22"/>
    <w:qFormat/>
    <w:uiPriority w:val="0"/>
    <w:rPr>
      <w:rFonts w:hint="default" w:ascii="Times New Roman" w:hAnsi="Times New Roman" w:eastAsia="Times New Roman" w:cs="Times New Roman"/>
      <w:sz w:val="24"/>
      <w:szCs w:val="24"/>
    </w:rPr>
  </w:style>
  <w:style w:type="paragraph" w:customStyle="1" w:styleId="297">
    <w:name w:val="正文_1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8">
    <w:name w:val="Normal_23"/>
    <w:qFormat/>
    <w:uiPriority w:val="0"/>
    <w:rPr>
      <w:rFonts w:hint="default" w:ascii="Times New Roman" w:hAnsi="Times New Roman" w:eastAsia="Times New Roman" w:cs="Times New Roman"/>
      <w:sz w:val="24"/>
      <w:szCs w:val="24"/>
    </w:rPr>
  </w:style>
  <w:style w:type="paragraph" w:customStyle="1" w:styleId="299">
    <w:name w:val="Normal_24"/>
    <w:qFormat/>
    <w:uiPriority w:val="0"/>
    <w:rPr>
      <w:rFonts w:hint="default" w:ascii="Times New Roman" w:hAnsi="Times New Roman" w:eastAsia="Times New Roman" w:cs="Times New Roman"/>
      <w:sz w:val="24"/>
      <w:szCs w:val="24"/>
    </w:rPr>
  </w:style>
  <w:style w:type="paragraph" w:customStyle="1" w:styleId="300">
    <w:name w:val="Normal_25"/>
    <w:qFormat/>
    <w:uiPriority w:val="0"/>
    <w:rPr>
      <w:rFonts w:hint="default" w:ascii="Times New Roman" w:hAnsi="Times New Roman" w:eastAsia="Times New Roman" w:cs="Times New Roman"/>
      <w:sz w:val="24"/>
      <w:szCs w:val="24"/>
    </w:rPr>
  </w:style>
  <w:style w:type="paragraph" w:customStyle="1" w:styleId="301">
    <w:name w:val="Normal_25_0"/>
    <w:qFormat/>
    <w:uiPriority w:val="0"/>
    <w:rPr>
      <w:rFonts w:hint="default" w:ascii="Times New Roman" w:hAnsi="Times New Roman" w:eastAsia="Times New Roman" w:cs="Times New Roman"/>
      <w:sz w:val="24"/>
      <w:szCs w:val="24"/>
    </w:rPr>
  </w:style>
  <w:style w:type="paragraph" w:customStyle="1" w:styleId="302">
    <w:name w:val="Table Paragraph"/>
    <w:basedOn w:val="303"/>
    <w:qFormat/>
    <w:uiPriority w:val="1"/>
    <w:rPr>
      <w:rFonts w:ascii="宋体" w:hAnsi="宋体" w:eastAsia="宋体" w:cs="宋体"/>
      <w:lang w:val="zh-CN" w:eastAsia="zh-CN" w:bidi="zh-CN"/>
    </w:rPr>
  </w:style>
  <w:style w:type="paragraph" w:customStyle="1" w:styleId="303">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4">
    <w:name w:val="正文_1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5">
    <w:name w:val="Normal_26"/>
    <w:qFormat/>
    <w:uiPriority w:val="0"/>
    <w:rPr>
      <w:rFonts w:hint="default" w:ascii="Times New Roman" w:hAnsi="Times New Roman" w:eastAsia="Times New Roman" w:cs="Times New Roman"/>
      <w:sz w:val="24"/>
      <w:szCs w:val="24"/>
    </w:rPr>
  </w:style>
  <w:style w:type="paragraph" w:customStyle="1" w:styleId="306">
    <w:name w:val="Normal_27"/>
    <w:qFormat/>
    <w:uiPriority w:val="0"/>
    <w:rPr>
      <w:rFonts w:hint="default" w:ascii="Times New Roman" w:hAnsi="Times New Roman" w:eastAsia="Times New Roman" w:cs="Times New Roman"/>
      <w:sz w:val="24"/>
      <w:szCs w:val="24"/>
    </w:rPr>
  </w:style>
  <w:style w:type="paragraph" w:customStyle="1" w:styleId="307">
    <w:name w:val="正文_1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8">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9">
    <w:name w:val="Normal_28"/>
    <w:qFormat/>
    <w:uiPriority w:val="0"/>
    <w:rPr>
      <w:rFonts w:hint="default" w:ascii="Times New Roman" w:hAnsi="Times New Roman" w:eastAsia="Times New Roman" w:cs="Times New Roman"/>
      <w:sz w:val="24"/>
      <w:szCs w:val="24"/>
    </w:rPr>
  </w:style>
  <w:style w:type="paragraph" w:customStyle="1" w:styleId="310">
    <w:name w:val="样式2"/>
    <w:basedOn w:val="1"/>
    <w:next w:val="1"/>
    <w:qFormat/>
    <w:uiPriority w:val="0"/>
    <w:pPr>
      <w:keepNext/>
      <w:keepLines/>
      <w:spacing w:before="50" w:after="50" w:line="360" w:lineRule="auto"/>
      <w:jc w:val="left"/>
      <w:outlineLvl w:val="1"/>
    </w:pPr>
    <w:rPr>
      <w:rFonts w:hint="eastAsia" w:ascii="宋体" w:hAnsi="宋体" w:eastAsia="宋体" w:cs="Times New Roman"/>
      <w:color w:val="000000"/>
      <w:sz w:val="24"/>
      <w:szCs w:val="20"/>
    </w:rPr>
  </w:style>
  <w:style w:type="character" w:customStyle="1" w:styleId="311">
    <w:name w:val="titlebody_0"/>
    <w:basedOn w:val="192"/>
    <w:link w:val="1"/>
    <w:qFormat/>
    <w:uiPriority w:val="0"/>
    <w:rPr>
      <w:rFonts w:ascii="宋体" w:hAnsi="宋体" w:eastAsia="宋体" w:cs="宋体"/>
      <w:b/>
      <w:bCs/>
      <w:color w:val="000000"/>
      <w:sz w:val="24"/>
      <w:szCs w:val="24"/>
    </w:rPr>
  </w:style>
  <w:style w:type="paragraph" w:customStyle="1" w:styleId="312">
    <w:name w:val="正文文本_2"/>
    <w:basedOn w:val="280"/>
    <w:next w:val="280"/>
    <w:qFormat/>
    <w:uiPriority w:val="99"/>
    <w:rPr>
      <w:rFonts w:ascii="楷体_GB2312" w:hAnsi="Arial" w:eastAsia="楷体_GB2312"/>
      <w:sz w:val="28"/>
      <w:szCs w:val="28"/>
    </w:rPr>
  </w:style>
  <w:style w:type="paragraph" w:customStyle="1" w:styleId="313">
    <w:name w:val="Normal_29"/>
    <w:qFormat/>
    <w:uiPriority w:val="0"/>
    <w:rPr>
      <w:rFonts w:hint="default" w:ascii="Times New Roman" w:hAnsi="Times New Roman" w:eastAsia="Times New Roman" w:cs="Times New Roman"/>
      <w:sz w:val="24"/>
      <w:szCs w:val="24"/>
    </w:rPr>
  </w:style>
  <w:style w:type="paragraph" w:customStyle="1" w:styleId="314">
    <w:name w:val="正文_0_0"/>
    <w:next w:val="3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5">
    <w:name w:val="正文文本_0"/>
    <w:basedOn w:val="248"/>
    <w:next w:val="316"/>
    <w:qFormat/>
    <w:uiPriority w:val="99"/>
    <w:rPr>
      <w:rFonts w:ascii="楷体_GB2312" w:hAnsi="Arial" w:eastAsia="楷体_GB2312"/>
      <w:sz w:val="28"/>
      <w:szCs w:val="28"/>
    </w:rPr>
  </w:style>
  <w:style w:type="paragraph" w:customStyle="1" w:styleId="316">
    <w:name w:val="正文_6_0"/>
    <w:next w:val="3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7">
    <w:name w:val="Table Text"/>
    <w:basedOn w:val="1"/>
    <w:semiHidden/>
    <w:qFormat/>
    <w:uiPriority w:val="0"/>
    <w:rPr>
      <w:rFonts w:ascii="宋体" w:hAnsi="宋体" w:eastAsia="宋体" w:cs="宋体"/>
      <w:sz w:val="21"/>
      <w:szCs w:val="21"/>
      <w:lang w:val="en-US" w:eastAsia="en-US" w:bidi="ar-SA"/>
    </w:rPr>
  </w:style>
  <w:style w:type="table" w:customStyle="1" w:styleId="318">
    <w:name w:val="Table Normal"/>
    <w:semiHidden/>
    <w:unhideWhenUsed/>
    <w:qFormat/>
    <w:uiPriority w:val="0"/>
    <w:tblPr>
      <w:tblCellMar>
        <w:top w:w="0" w:type="dxa"/>
        <w:left w:w="0" w:type="dxa"/>
        <w:bottom w:w="0" w:type="dxa"/>
        <w:right w:w="0" w:type="dxa"/>
      </w:tblCellMar>
    </w:tblPr>
  </w:style>
  <w:style w:type="paragraph" w:customStyle="1" w:styleId="319">
    <w:name w:val="_Style 5"/>
    <w:basedOn w:val="2"/>
    <w:next w:val="1"/>
    <w:qFormat/>
    <w:uiPriority w:val="0"/>
    <w:pPr>
      <w:outlineLvl w:val="9"/>
    </w:pPr>
  </w:style>
  <w:style w:type="paragraph" w:customStyle="1" w:styleId="320">
    <w:name w:val="Heading 2"/>
    <w:basedOn w:val="252"/>
    <w:next w:val="252"/>
    <w:qFormat/>
    <w:uiPriority w:val="99"/>
    <w:pPr>
      <w:keepNext/>
      <w:keepLines/>
      <w:spacing w:before="260" w:after="260" w:line="416" w:lineRule="auto"/>
      <w:jc w:val="center"/>
      <w:outlineLvl w:val="1"/>
    </w:pPr>
    <w:rPr>
      <w:rFonts w:ascii="幼圆" w:hAnsi="Arial" w:eastAsia="楷体_GB2312"/>
      <w:b/>
      <w:sz w:val="24"/>
      <w:szCs w:val="20"/>
    </w:rPr>
  </w:style>
  <w:style w:type="character" w:customStyle="1" w:styleId="321">
    <w:name w:val="active15"/>
    <w:basedOn w:val="34"/>
    <w:qFormat/>
    <w:uiPriority w:val="0"/>
    <w:rPr>
      <w:color w:val="FFFFFF"/>
      <w:shd w:val="clear" w:color="auto" w:fill="0F5BB9"/>
    </w:rPr>
  </w:style>
  <w:style w:type="paragraph" w:customStyle="1" w:styleId="322">
    <w:name w:val="正文文本 21"/>
    <w:basedOn w:val="1"/>
    <w:qFormat/>
    <w:uiPriority w:val="99"/>
    <w:pPr>
      <w:widowControl/>
      <w:jc w:val="center"/>
    </w:pPr>
    <w:rPr>
      <w:sz w:val="20"/>
    </w:rPr>
  </w:style>
  <w:style w:type="character" w:customStyle="1" w:styleId="323">
    <w:name w:val="active16"/>
    <w:basedOn w:val="34"/>
    <w:qFormat/>
    <w:uiPriority w:val="0"/>
    <w:rPr>
      <w:color w:val="FFFFFF"/>
      <w:shd w:val="clear" w:color="auto" w:fill="0F5BB9"/>
    </w:rPr>
  </w:style>
  <w:style w:type="paragraph" w:customStyle="1" w:styleId="324">
    <w:name w:val="样式 标题 2 + Times New Roman 四号 非加粗 段前: 5 磅 段后: 0 磅 行距: 固定值 20..."/>
    <w:basedOn w:val="3"/>
    <w:qFormat/>
    <w:uiPriority w:val="0"/>
    <w:pPr>
      <w:spacing w:before="100" w:after="0" w:line="400" w:lineRule="exact"/>
    </w:pPr>
    <w:rPr>
      <w:rFonts w:ascii="Times New Roman" w:hAnsi="Times New Roman" w:cs="宋体"/>
      <w:sz w:val="28"/>
      <w:szCs w:val="20"/>
    </w:rPr>
  </w:style>
  <w:style w:type="paragraph" w:customStyle="1" w:styleId="325">
    <w:name w:val="Heading 3"/>
    <w:basedOn w:val="1"/>
    <w:next w:val="1"/>
    <w:qFormat/>
    <w:uiPriority w:val="0"/>
    <w:pPr>
      <w:keepNext/>
      <w:keepLines/>
      <w:spacing w:before="260" w:after="260" w:line="416" w:lineRule="auto"/>
      <w:outlineLvl w:val="2"/>
    </w:pPr>
    <w:rPr>
      <w:b/>
      <w:sz w:val="32"/>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Ho</Company>
  <Pages>81</Pages>
  <Words>15472</Words>
  <Characters>16458</Characters>
  <TotalTime>0</TotalTime>
  <ScaleCrop>false</ScaleCrop>
  <LinksUpToDate>false</LinksUpToDate>
  <CharactersWithSpaces>17010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2022-05-06T02:12:00Z</dcterms:created>
  <dc:creator>12</dc:creator>
  <cp:lastModifiedBy>小邓</cp:lastModifiedBy>
  <dcterms:modified xsi:type="dcterms:W3CDTF">2026-05-13T08:26:54Z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9C1D45F636DD43BDA70C84ED6BA4A94D_13</vt:lpwstr>
  </property>
  <property fmtid="{D5CDD505-2E9C-101B-9397-08002B2CF9AE}" pid="4" name="KSOTemplateDocerSaveRecord">
    <vt:lpwstr>eyJoZGlkIjoiYmQ3OWRhYTcyOTI5MWY4NmFhOTg1YjlmMGNjZmYzMGEiLCJ1c2VySWQiOiIxMTUwNzEzNjc1In0=</vt:lpwstr>
  </property>
</Properties>
</file>